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360" w:lineRule="auto"/>
        <w:rPr>
          <w:rFonts w:hint="eastAsia" w:ascii="新宋体" w:hAnsi="新宋体" w:eastAsia="新宋体" w:cs="新宋体"/>
          <w:sz w:val="22"/>
        </w:rPr>
      </w:pPr>
      <w:bookmarkStart w:id="0" w:name="_Toc464451503"/>
      <w:bookmarkStart w:id="1" w:name="_Toc462486136"/>
      <w:bookmarkStart w:id="2" w:name="_Toc463071784"/>
      <w:bookmarkStart w:id="3" w:name="_Toc464397397"/>
      <w:bookmarkStart w:id="4" w:name="_Toc464457642"/>
      <w:bookmarkStart w:id="5" w:name="_Toc463071331"/>
      <w:bookmarkStart w:id="6" w:name="_Toc478889380"/>
      <w:bookmarkStart w:id="7" w:name="_Toc466974276"/>
      <w:bookmarkStart w:id="8" w:name="_Toc464401350"/>
      <w:bookmarkStart w:id="9" w:name="_Toc478897898"/>
      <w:bookmarkStart w:id="10" w:name="_Toc463067500"/>
      <w:bookmarkStart w:id="11" w:name="_Toc467034198"/>
      <w:bookmarkStart w:id="12" w:name="_Toc462487361"/>
    </w:p>
    <w:p>
      <w:pPr>
        <w:spacing w:before="50" w:after="50" w:line="360" w:lineRule="auto"/>
        <w:jc w:val="center"/>
        <w:rPr>
          <w:rFonts w:hint="eastAsia" w:ascii="新宋体" w:hAnsi="新宋体" w:eastAsia="新宋体" w:cs="新宋体"/>
          <w:b/>
          <w:sz w:val="44"/>
          <w:szCs w:val="44"/>
        </w:rPr>
      </w:pPr>
      <w:r>
        <w:rPr>
          <w:rFonts w:hint="eastAsia" w:ascii="新宋体" w:hAnsi="新宋体" w:eastAsia="新宋体" w:cs="新宋体"/>
        </w:rPr>
        <w:drawing>
          <wp:inline distT="0" distB="0" distL="0" distR="0">
            <wp:extent cx="5274310" cy="4000500"/>
            <wp:effectExtent l="0" t="0" r="2540" b="0"/>
            <wp:docPr id="1" name="图片 1" descr="C:\Users\lenovo\Desktop\祥立公司资料\竞争性谈判标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Desktop\祥立公司资料\竞争性谈判标志.png"/>
                    <pic:cNvPicPr>
                      <a:picLocks noChangeAspect="1" noChangeArrowheads="1"/>
                    </pic:cNvPicPr>
                  </pic:nvPicPr>
                  <pic:blipFill>
                    <a:blip r:embed="rId9" cstate="print"/>
                    <a:srcRect/>
                    <a:stretch>
                      <a:fillRect/>
                    </a:stretch>
                  </pic:blipFill>
                  <pic:spPr>
                    <a:xfrm>
                      <a:off x="0" y="0"/>
                      <a:ext cx="5274310" cy="4000636"/>
                    </a:xfrm>
                    <a:prstGeom prst="rect">
                      <a:avLst/>
                    </a:prstGeom>
                    <a:noFill/>
                    <a:ln w="9525">
                      <a:noFill/>
                      <a:miter lim="800000"/>
                      <a:headEnd/>
                      <a:tailEnd/>
                    </a:ln>
                  </pic:spPr>
                </pic:pic>
              </a:graphicData>
            </a:graphic>
          </wp:inline>
        </w:drawing>
      </w:r>
    </w:p>
    <w:p>
      <w:pPr>
        <w:spacing w:before="50" w:after="50" w:line="360" w:lineRule="auto"/>
        <w:rPr>
          <w:rFonts w:hint="eastAsia" w:ascii="新宋体" w:hAnsi="新宋体" w:eastAsia="新宋体" w:cs="新宋体"/>
          <w:b/>
          <w:sz w:val="44"/>
          <w:szCs w:val="44"/>
        </w:rPr>
      </w:pPr>
    </w:p>
    <w:p>
      <w:pPr>
        <w:spacing w:before="50" w:after="50" w:line="360" w:lineRule="auto"/>
        <w:jc w:val="center"/>
        <w:rPr>
          <w:rFonts w:hint="eastAsia" w:ascii="新宋体" w:hAnsi="新宋体" w:eastAsia="新宋体" w:cs="新宋体"/>
          <w:b/>
          <w:sz w:val="44"/>
          <w:szCs w:val="44"/>
        </w:rPr>
      </w:pPr>
    </w:p>
    <w:p>
      <w:pPr>
        <w:pStyle w:val="11"/>
        <w:spacing w:line="360" w:lineRule="auto"/>
        <w:rPr>
          <w:rFonts w:hint="eastAsia" w:ascii="新宋体" w:hAnsi="新宋体" w:eastAsia="新宋体" w:cs="新宋体"/>
          <w:b/>
          <w:sz w:val="28"/>
          <w:szCs w:val="28"/>
        </w:rPr>
      </w:pPr>
      <w:r>
        <w:rPr>
          <w:rFonts w:hint="eastAsia" w:ascii="新宋体" w:hAnsi="新宋体" w:eastAsia="新宋体" w:cs="新宋体"/>
          <w:b/>
          <w:sz w:val="72"/>
          <w:szCs w:val="72"/>
        </w:rPr>
        <w:t xml:space="preserve">  竞争性谈判采购文件</w:t>
      </w:r>
    </w:p>
    <w:p>
      <w:pPr>
        <w:spacing w:before="50" w:after="50" w:line="360" w:lineRule="auto"/>
        <w:jc w:val="left"/>
        <w:rPr>
          <w:rFonts w:hint="eastAsia" w:ascii="新宋体" w:hAnsi="新宋体" w:eastAsia="新宋体" w:cs="新宋体"/>
          <w:b/>
          <w:sz w:val="28"/>
          <w:szCs w:val="28"/>
        </w:rPr>
      </w:pPr>
    </w:p>
    <w:p>
      <w:pPr>
        <w:spacing w:before="50" w:after="50" w:line="360" w:lineRule="auto"/>
        <w:ind w:left="2388" w:leftChars="200" w:hanging="1968" w:hangingChars="700"/>
        <w:jc w:val="left"/>
        <w:rPr>
          <w:rFonts w:hint="eastAsia" w:ascii="新宋体" w:hAnsi="新宋体" w:eastAsia="新宋体" w:cs="新宋体"/>
          <w:b/>
          <w:color w:val="auto"/>
          <w:sz w:val="28"/>
          <w:szCs w:val="28"/>
          <w:u w:val="single"/>
        </w:rPr>
      </w:pPr>
      <w:r>
        <w:rPr>
          <w:rFonts w:hint="eastAsia" w:ascii="新宋体" w:hAnsi="新宋体" w:eastAsia="新宋体" w:cs="新宋体"/>
          <w:b/>
          <w:color w:val="auto"/>
          <w:sz w:val="28"/>
          <w:szCs w:val="28"/>
        </w:rPr>
        <w:t>项目名称：</w:t>
      </w:r>
      <w:r>
        <w:rPr>
          <w:rFonts w:hint="eastAsia" w:ascii="新宋体" w:hAnsi="新宋体" w:eastAsia="新宋体" w:cs="新宋体"/>
          <w:b/>
          <w:color w:val="auto"/>
          <w:sz w:val="28"/>
          <w:szCs w:val="28"/>
          <w:u w:val="single"/>
          <w:lang w:eastAsia="zh-CN"/>
        </w:rPr>
        <w:t>灵山县檀圩镇中心校特殊教育资源教室设备采购</w:t>
      </w:r>
    </w:p>
    <w:p>
      <w:pPr>
        <w:pStyle w:val="11"/>
        <w:spacing w:line="360" w:lineRule="auto"/>
        <w:ind w:firstLine="413" w:firstLineChars="147"/>
        <w:jc w:val="left"/>
        <w:rPr>
          <w:rFonts w:hint="eastAsia" w:ascii="新宋体" w:hAnsi="新宋体" w:eastAsia="新宋体" w:cs="新宋体"/>
          <w:b/>
          <w:color w:val="auto"/>
          <w:sz w:val="28"/>
          <w:szCs w:val="28"/>
          <w:u w:val="single"/>
        </w:rPr>
      </w:pPr>
      <w:r>
        <w:rPr>
          <w:rFonts w:hint="eastAsia" w:ascii="新宋体" w:hAnsi="新宋体" w:eastAsia="新宋体" w:cs="新宋体"/>
          <w:b/>
          <w:color w:val="auto"/>
          <w:sz w:val="28"/>
          <w:szCs w:val="28"/>
        </w:rPr>
        <w:t>项目编号：</w:t>
      </w:r>
      <w:r>
        <w:rPr>
          <w:rFonts w:hint="eastAsia" w:ascii="新宋体" w:hAnsi="新宋体" w:eastAsia="新宋体" w:cs="新宋体"/>
          <w:b/>
          <w:color w:val="auto"/>
          <w:sz w:val="28"/>
          <w:szCs w:val="28"/>
          <w:u w:val="single"/>
        </w:rPr>
        <w:t xml:space="preserve"> </w:t>
      </w:r>
      <w:r>
        <w:rPr>
          <w:rFonts w:hint="eastAsia" w:ascii="新宋体" w:hAnsi="新宋体" w:eastAsia="新宋体" w:cs="新宋体"/>
          <w:b/>
          <w:color w:val="auto"/>
          <w:sz w:val="28"/>
          <w:szCs w:val="28"/>
          <w:u w:val="single"/>
          <w:lang w:val="en-US" w:eastAsia="zh-CN"/>
        </w:rPr>
        <w:t>QZZC</w:t>
      </w:r>
      <w:r>
        <w:rPr>
          <w:rFonts w:hint="eastAsia" w:ascii="新宋体" w:hAnsi="新宋体" w:eastAsia="新宋体" w:cs="新宋体"/>
          <w:b/>
          <w:color w:val="auto"/>
          <w:sz w:val="28"/>
          <w:szCs w:val="28"/>
          <w:u w:val="single"/>
        </w:rPr>
        <w:t>201</w:t>
      </w:r>
      <w:r>
        <w:rPr>
          <w:rFonts w:hint="eastAsia" w:ascii="新宋体" w:hAnsi="新宋体" w:eastAsia="新宋体" w:cs="新宋体"/>
          <w:b/>
          <w:color w:val="auto"/>
          <w:sz w:val="28"/>
          <w:szCs w:val="28"/>
          <w:u w:val="single"/>
          <w:lang w:val="en-US" w:eastAsia="zh-CN"/>
        </w:rPr>
        <w:t>9</w:t>
      </w:r>
      <w:r>
        <w:rPr>
          <w:rFonts w:hint="eastAsia" w:ascii="新宋体" w:hAnsi="新宋体" w:eastAsia="新宋体" w:cs="新宋体"/>
          <w:b/>
          <w:color w:val="auto"/>
          <w:sz w:val="28"/>
          <w:szCs w:val="28"/>
          <w:u w:val="single"/>
        </w:rPr>
        <w:t>-J1-</w:t>
      </w:r>
      <w:r>
        <w:rPr>
          <w:rFonts w:hint="eastAsia" w:ascii="新宋体" w:hAnsi="新宋体" w:eastAsia="新宋体" w:cs="新宋体"/>
          <w:b/>
          <w:color w:val="auto"/>
          <w:sz w:val="28"/>
          <w:szCs w:val="28"/>
          <w:u w:val="single"/>
          <w:lang w:val="en-US" w:eastAsia="zh-CN"/>
        </w:rPr>
        <w:t>2003</w:t>
      </w:r>
      <w:r>
        <w:rPr>
          <w:rFonts w:hint="eastAsia" w:ascii="新宋体" w:hAnsi="新宋体" w:eastAsia="新宋体" w:cs="新宋体"/>
          <w:b/>
          <w:color w:val="auto"/>
          <w:sz w:val="28"/>
          <w:szCs w:val="28"/>
          <w:u w:val="single"/>
        </w:rPr>
        <w:t>-</w:t>
      </w:r>
      <w:r>
        <w:rPr>
          <w:rFonts w:hint="eastAsia" w:ascii="新宋体" w:hAnsi="新宋体" w:eastAsia="新宋体" w:cs="新宋体"/>
          <w:b/>
          <w:color w:val="auto"/>
          <w:sz w:val="28"/>
          <w:szCs w:val="28"/>
          <w:u w:val="single"/>
          <w:lang w:val="en-US" w:eastAsia="zh-CN"/>
        </w:rPr>
        <w:t>GXXL</w:t>
      </w:r>
      <w:r>
        <w:rPr>
          <w:rFonts w:hint="eastAsia" w:ascii="新宋体" w:hAnsi="新宋体" w:eastAsia="新宋体" w:cs="新宋体"/>
          <w:b/>
          <w:color w:val="auto"/>
          <w:sz w:val="28"/>
          <w:szCs w:val="28"/>
          <w:u w:val="single"/>
        </w:rPr>
        <w:t xml:space="preserve"> </w:t>
      </w:r>
    </w:p>
    <w:p>
      <w:pPr>
        <w:pStyle w:val="11"/>
        <w:spacing w:line="360" w:lineRule="auto"/>
        <w:ind w:firstLine="413" w:firstLineChars="147"/>
        <w:jc w:val="left"/>
        <w:rPr>
          <w:rFonts w:hint="eastAsia" w:ascii="新宋体" w:hAnsi="新宋体" w:eastAsia="新宋体" w:cs="新宋体"/>
          <w:b/>
          <w:color w:val="auto"/>
          <w:sz w:val="28"/>
          <w:szCs w:val="28"/>
          <w:u w:val="single"/>
          <w:shd w:val="clear" w:fill="FFC000" w:themeFill="accent4"/>
          <w:lang w:eastAsia="zh-CN"/>
        </w:rPr>
      </w:pPr>
      <w:r>
        <w:rPr>
          <w:rFonts w:hint="eastAsia" w:ascii="新宋体" w:hAnsi="新宋体" w:eastAsia="新宋体" w:cs="新宋体"/>
          <w:b/>
          <w:color w:val="auto"/>
          <w:sz w:val="28"/>
          <w:szCs w:val="28"/>
        </w:rPr>
        <w:t xml:space="preserve">采购人： </w:t>
      </w:r>
      <w:r>
        <w:rPr>
          <w:rFonts w:hint="eastAsia" w:ascii="新宋体" w:hAnsi="新宋体" w:eastAsia="新宋体" w:cs="新宋体"/>
          <w:b/>
          <w:color w:val="auto"/>
          <w:sz w:val="28"/>
          <w:szCs w:val="28"/>
          <w:u w:val="single"/>
          <w:lang w:eastAsia="zh-CN"/>
        </w:rPr>
        <w:t>灵山县</w:t>
      </w:r>
      <w:r>
        <w:rPr>
          <w:rFonts w:hint="eastAsia" w:ascii="新宋体" w:hAnsi="新宋体" w:eastAsia="新宋体" w:cs="新宋体"/>
          <w:b/>
          <w:color w:val="auto"/>
          <w:sz w:val="28"/>
          <w:szCs w:val="28"/>
          <w:u w:val="single"/>
          <w:lang w:val="en-US" w:eastAsia="zh-CN"/>
        </w:rPr>
        <w:t>檀圩镇中心校</w:t>
      </w:r>
    </w:p>
    <w:p>
      <w:pPr>
        <w:pStyle w:val="11"/>
        <w:spacing w:line="360" w:lineRule="auto"/>
        <w:ind w:firstLine="413" w:firstLineChars="147"/>
        <w:jc w:val="left"/>
        <w:rPr>
          <w:rFonts w:hint="eastAsia" w:ascii="新宋体" w:hAnsi="新宋体" w:eastAsia="新宋体" w:cs="新宋体"/>
          <w:b/>
          <w:color w:val="auto"/>
          <w:sz w:val="28"/>
          <w:szCs w:val="28"/>
          <w:u w:val="single"/>
        </w:rPr>
      </w:pPr>
      <w:r>
        <w:rPr>
          <w:rFonts w:hint="eastAsia" w:ascii="新宋体" w:hAnsi="新宋体" w:eastAsia="新宋体" w:cs="新宋体"/>
          <w:b/>
          <w:color w:val="auto"/>
          <w:sz w:val="28"/>
          <w:szCs w:val="28"/>
        </w:rPr>
        <w:t>采购代理机构：</w:t>
      </w:r>
      <w:r>
        <w:rPr>
          <w:rFonts w:hint="eastAsia" w:ascii="新宋体" w:hAnsi="新宋体" w:eastAsia="新宋体" w:cs="新宋体"/>
          <w:b/>
          <w:color w:val="auto"/>
          <w:sz w:val="28"/>
          <w:szCs w:val="28"/>
          <w:u w:val="single"/>
        </w:rPr>
        <w:t>广西祥立工程咨询有限责任公司</w:t>
      </w:r>
    </w:p>
    <w:p>
      <w:pPr>
        <w:pStyle w:val="11"/>
        <w:spacing w:line="360" w:lineRule="auto"/>
        <w:ind w:firstLine="413" w:firstLineChars="147"/>
        <w:jc w:val="left"/>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rPr>
        <w:t>日    期：二○一</w:t>
      </w:r>
      <w:r>
        <w:rPr>
          <w:rFonts w:hint="eastAsia" w:ascii="新宋体" w:hAnsi="新宋体" w:eastAsia="新宋体" w:cs="新宋体"/>
          <w:b/>
          <w:color w:val="auto"/>
          <w:sz w:val="28"/>
          <w:szCs w:val="28"/>
          <w:lang w:eastAsia="zh-CN"/>
        </w:rPr>
        <w:t>九</w:t>
      </w:r>
      <w:r>
        <w:rPr>
          <w:rFonts w:hint="eastAsia" w:ascii="新宋体" w:hAnsi="新宋体" w:eastAsia="新宋体" w:cs="新宋体"/>
          <w:b/>
          <w:color w:val="auto"/>
          <w:sz w:val="28"/>
          <w:szCs w:val="28"/>
        </w:rPr>
        <w:t>年</w:t>
      </w:r>
      <w:r>
        <w:rPr>
          <w:rFonts w:hint="eastAsia" w:ascii="新宋体" w:hAnsi="新宋体" w:eastAsia="新宋体" w:cs="新宋体"/>
          <w:b/>
          <w:color w:val="auto"/>
          <w:sz w:val="28"/>
          <w:szCs w:val="28"/>
          <w:lang w:eastAsia="zh-CN"/>
        </w:rPr>
        <w:t>十二</w:t>
      </w:r>
      <w:r>
        <w:rPr>
          <w:rFonts w:hint="eastAsia" w:ascii="新宋体" w:hAnsi="新宋体" w:eastAsia="新宋体" w:cs="新宋体"/>
          <w:b/>
          <w:color w:val="auto"/>
          <w:sz w:val="28"/>
          <w:szCs w:val="28"/>
        </w:rPr>
        <w:t>月</w:t>
      </w:r>
    </w:p>
    <w:p>
      <w:pPr>
        <w:pStyle w:val="11"/>
        <w:tabs>
          <w:tab w:val="center" w:pos="4156"/>
          <w:tab w:val="left" w:pos="4995"/>
        </w:tabs>
        <w:spacing w:line="300" w:lineRule="exact"/>
        <w:jc w:val="left"/>
        <w:rPr>
          <w:rFonts w:hint="eastAsia" w:ascii="新宋体" w:hAnsi="新宋体" w:eastAsia="新宋体" w:cs="新宋体"/>
          <w:b/>
          <w:sz w:val="28"/>
          <w:szCs w:val="28"/>
        </w:rPr>
      </w:pPr>
      <w:r>
        <w:rPr>
          <w:rFonts w:hint="eastAsia" w:ascii="新宋体" w:hAnsi="新宋体" w:eastAsia="新宋体" w:cs="新宋体"/>
          <w:b/>
          <w:sz w:val="28"/>
          <w:szCs w:val="28"/>
        </w:rPr>
        <w:tab/>
      </w:r>
    </w:p>
    <w:bookmarkEnd w:id="0"/>
    <w:bookmarkEnd w:id="1"/>
    <w:bookmarkEnd w:id="2"/>
    <w:bookmarkEnd w:id="3"/>
    <w:bookmarkEnd w:id="4"/>
    <w:bookmarkEnd w:id="5"/>
    <w:bookmarkEnd w:id="6"/>
    <w:bookmarkEnd w:id="7"/>
    <w:bookmarkEnd w:id="8"/>
    <w:bookmarkEnd w:id="9"/>
    <w:bookmarkEnd w:id="10"/>
    <w:bookmarkEnd w:id="11"/>
    <w:bookmarkEnd w:id="12"/>
    <w:p>
      <w:pPr>
        <w:pStyle w:val="11"/>
        <w:tabs>
          <w:tab w:val="center" w:pos="4156"/>
          <w:tab w:val="left" w:pos="4995"/>
        </w:tabs>
        <w:spacing w:line="300" w:lineRule="exact"/>
        <w:jc w:val="center"/>
        <w:rPr>
          <w:rFonts w:hint="eastAsia" w:ascii="新宋体" w:hAnsi="新宋体" w:eastAsia="新宋体" w:cs="新宋体"/>
          <w:b/>
          <w:sz w:val="28"/>
          <w:szCs w:val="28"/>
        </w:rPr>
      </w:pPr>
    </w:p>
    <w:p>
      <w:pPr>
        <w:pStyle w:val="11"/>
        <w:tabs>
          <w:tab w:val="center" w:pos="4156"/>
          <w:tab w:val="left" w:pos="4995"/>
        </w:tabs>
        <w:spacing w:line="300" w:lineRule="exact"/>
        <w:jc w:val="center"/>
        <w:rPr>
          <w:rFonts w:hint="eastAsia" w:ascii="新宋体" w:hAnsi="新宋体" w:eastAsia="新宋体" w:cs="新宋体"/>
          <w:b/>
          <w:sz w:val="28"/>
          <w:szCs w:val="28"/>
        </w:rPr>
      </w:pPr>
      <w:r>
        <w:rPr>
          <w:rFonts w:hint="eastAsia" w:ascii="新宋体" w:hAnsi="新宋体" w:eastAsia="新宋体" w:cs="新宋体"/>
          <w:b/>
          <w:sz w:val="28"/>
          <w:szCs w:val="28"/>
        </w:rPr>
        <w:t>目  录</w:t>
      </w:r>
    </w:p>
    <w:p>
      <w:pPr>
        <w:tabs>
          <w:tab w:val="left" w:pos="2365"/>
        </w:tabs>
        <w:rPr>
          <w:rFonts w:hint="eastAsia" w:ascii="新宋体" w:hAnsi="新宋体" w:eastAsia="新宋体" w:cs="新宋体"/>
          <w:sz w:val="24"/>
        </w:rPr>
      </w:pPr>
      <w:r>
        <w:rPr>
          <w:rFonts w:hint="eastAsia" w:ascii="新宋体" w:hAnsi="新宋体" w:eastAsia="新宋体" w:cs="新宋体"/>
          <w:sz w:val="24"/>
        </w:rPr>
        <w:tab/>
      </w:r>
    </w:p>
    <w:sdt>
      <w:sdtPr>
        <w:rPr>
          <w:rFonts w:ascii="宋体" w:hAnsi="宋体" w:eastAsia="宋体" w:cstheme="minorBidi"/>
          <w:kern w:val="2"/>
          <w:sz w:val="21"/>
          <w:szCs w:val="24"/>
          <w:lang w:val="en-US" w:eastAsia="zh-CN" w:bidi="ar-SA"/>
        </w:rPr>
        <w:id w:val="147478049"/>
        <w15:color w:val="DBDBDB"/>
        <w:docPartObj>
          <w:docPartGallery w:val="Table of Contents"/>
          <w:docPartUnique/>
        </w:docPartObj>
      </w:sdtPr>
      <w:sdtEndPr>
        <w:rPr>
          <w:rFonts w:hint="eastAsia" w:ascii="新宋体" w:hAnsi="新宋体" w:eastAsia="新宋体" w:cs="新宋体"/>
          <w:kern w:val="2"/>
          <w:sz w:val="28"/>
          <w:szCs w:val="28"/>
          <w:lang w:val="en-US" w:eastAsia="zh-CN" w:bidi="ar-SA"/>
        </w:rPr>
      </w:sdtEndPr>
      <w:sdtContent>
        <w:p>
          <w:pPr>
            <w:spacing w:before="0" w:beforeLines="0" w:after="0" w:afterLines="0" w:line="240" w:lineRule="auto"/>
            <w:ind w:left="0" w:leftChars="0" w:right="0" w:rightChars="0" w:firstLine="0" w:firstLineChars="0"/>
            <w:jc w:val="center"/>
          </w:pP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TOC \o "1-1" \h \u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_Toc18209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第一章 竞争性谈判公告</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_Toc18209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_Toc14475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第二章 竞标人须知前附表</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_Toc14475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5</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_Toc9503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lang w:val="en-US" w:eastAsia="zh-CN"/>
            </w:rPr>
            <w:t>第三章   货物需求一览表</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_Toc9503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15</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_Toc8475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第四章   合同基本条款</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_Toc8475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41</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_Toc7028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第五章</w:t>
          </w:r>
          <w:r>
            <w:rPr>
              <w:rFonts w:hint="eastAsia" w:ascii="新宋体" w:hAnsi="新宋体" w:eastAsia="新宋体" w:cs="新宋体"/>
              <w:sz w:val="28"/>
              <w:szCs w:val="28"/>
              <w:lang w:val="en-US" w:eastAsia="zh-CN"/>
            </w:rPr>
            <w:t xml:space="preserve">  </w:t>
          </w:r>
          <w:r>
            <w:rPr>
              <w:rFonts w:hint="eastAsia" w:ascii="新宋体" w:hAnsi="新宋体" w:eastAsia="新宋体" w:cs="新宋体"/>
              <w:sz w:val="28"/>
              <w:szCs w:val="28"/>
            </w:rPr>
            <w:t>合同书格式</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_Toc7028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44</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_Toc1838 </w:instrText>
          </w:r>
          <w:r>
            <w:rPr>
              <w:rFonts w:hint="eastAsia" w:ascii="新宋体" w:hAnsi="新宋体" w:eastAsia="新宋体" w:cs="新宋体"/>
              <w:sz w:val="28"/>
              <w:szCs w:val="28"/>
            </w:rPr>
            <w:fldChar w:fldCharType="separate"/>
          </w:r>
          <w:r>
            <w:rPr>
              <w:rFonts w:hint="eastAsia" w:ascii="新宋体" w:hAnsi="新宋体" w:eastAsia="新宋体" w:cs="新宋体"/>
              <w:bCs/>
              <w:sz w:val="28"/>
              <w:szCs w:val="28"/>
            </w:rPr>
            <w:t>第六章   响应文件格式</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_Toc1838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45</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pStyle w:val="44"/>
            <w:tabs>
              <w:tab w:val="right" w:leader="dot" w:pos="8306"/>
            </w:tabs>
            <w:rPr>
              <w:rFonts w:hint="eastAsia" w:ascii="新宋体" w:hAnsi="新宋体" w:eastAsia="新宋体" w:cs="新宋体"/>
              <w:sz w:val="28"/>
              <w:szCs w:val="28"/>
            </w:rPr>
          </w:pP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HYPERLINK \l _Toc667 </w:instrText>
          </w:r>
          <w:r>
            <w:rPr>
              <w:rFonts w:hint="eastAsia" w:ascii="新宋体" w:hAnsi="新宋体" w:eastAsia="新宋体" w:cs="新宋体"/>
              <w:sz w:val="28"/>
              <w:szCs w:val="28"/>
            </w:rPr>
            <w:fldChar w:fldCharType="separate"/>
          </w:r>
          <w:r>
            <w:rPr>
              <w:rFonts w:hint="eastAsia" w:ascii="新宋体" w:hAnsi="新宋体" w:eastAsia="新宋体" w:cs="新宋体"/>
              <w:bCs/>
              <w:sz w:val="28"/>
              <w:szCs w:val="28"/>
            </w:rPr>
            <w:t>第七章  评定成交的标准</w:t>
          </w:r>
          <w:r>
            <w:rPr>
              <w:rFonts w:hint="eastAsia" w:ascii="新宋体" w:hAnsi="新宋体" w:eastAsia="新宋体" w:cs="新宋体"/>
              <w:sz w:val="28"/>
              <w:szCs w:val="28"/>
            </w:rPr>
            <w:t>评定成交的标准</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_Toc667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59</w:t>
          </w:r>
          <w:r>
            <w:rPr>
              <w:rFonts w:hint="eastAsia" w:ascii="新宋体" w:hAnsi="新宋体" w:eastAsia="新宋体" w:cs="新宋体"/>
              <w:sz w:val="28"/>
              <w:szCs w:val="28"/>
            </w:rPr>
            <w:fldChar w:fldCharType="end"/>
          </w:r>
          <w:r>
            <w:rPr>
              <w:rFonts w:hint="eastAsia" w:ascii="新宋体" w:hAnsi="新宋体" w:eastAsia="新宋体" w:cs="新宋体"/>
              <w:sz w:val="28"/>
              <w:szCs w:val="28"/>
            </w:rPr>
            <w:fldChar w:fldCharType="end"/>
          </w:r>
        </w:p>
        <w:p>
          <w:pPr>
            <w:rPr>
              <w:rFonts w:hint="eastAsia" w:ascii="新宋体" w:hAnsi="新宋体" w:eastAsia="新宋体" w:cs="新宋体"/>
              <w:sz w:val="28"/>
              <w:szCs w:val="28"/>
            </w:rPr>
          </w:pPr>
          <w:r>
            <w:rPr>
              <w:rFonts w:hint="eastAsia" w:ascii="新宋体" w:hAnsi="新宋体" w:eastAsia="新宋体" w:cs="新宋体"/>
              <w:sz w:val="28"/>
              <w:szCs w:val="28"/>
            </w:rPr>
            <w:fldChar w:fldCharType="end"/>
          </w:r>
        </w:p>
      </w:sdtContent>
    </w:sdt>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bookmarkStart w:id="129" w:name="_GoBack"/>
      <w:bookmarkEnd w:id="129"/>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rPr>
          <w:rFonts w:hint="eastAsia" w:ascii="新宋体" w:hAnsi="新宋体" w:eastAsia="新宋体" w:cs="新宋体"/>
          <w:sz w:val="24"/>
        </w:rPr>
      </w:pPr>
    </w:p>
    <w:p>
      <w:pPr>
        <w:pStyle w:val="3"/>
        <w:spacing w:before="120" w:after="120" w:line="400" w:lineRule="exact"/>
        <w:jc w:val="center"/>
        <w:outlineLvl w:val="9"/>
        <w:rPr>
          <w:rFonts w:hint="eastAsia" w:ascii="新宋体" w:hAnsi="新宋体" w:eastAsia="新宋体" w:cs="新宋体"/>
          <w:bCs w:val="0"/>
          <w:sz w:val="21"/>
          <w:szCs w:val="21"/>
        </w:rPr>
      </w:pPr>
    </w:p>
    <w:p>
      <w:pPr>
        <w:pStyle w:val="3"/>
        <w:spacing w:before="120" w:after="120" w:line="400" w:lineRule="exact"/>
        <w:outlineLvl w:val="9"/>
        <w:rPr>
          <w:rFonts w:hint="eastAsia" w:ascii="新宋体" w:hAnsi="新宋体" w:eastAsia="新宋体" w:cs="新宋体"/>
          <w:bCs w:val="0"/>
          <w:sz w:val="21"/>
          <w:szCs w:val="21"/>
        </w:rPr>
        <w:sectPr>
          <w:headerReference r:id="rId4" w:type="first"/>
          <w:headerReference r:id="rId3" w:type="default"/>
          <w:footerReference r:id="rId5" w:type="default"/>
          <w:pgSz w:w="11906" w:h="16838"/>
          <w:pgMar w:top="1440" w:right="1800" w:bottom="1440" w:left="1800" w:header="851" w:footer="992" w:gutter="0"/>
          <w:pgNumType w:start="1"/>
          <w:cols w:space="720" w:num="1"/>
          <w:titlePg/>
          <w:docGrid w:type="lines" w:linePitch="312" w:charSpace="0"/>
        </w:sectPr>
      </w:pPr>
    </w:p>
    <w:p>
      <w:pPr>
        <w:pStyle w:val="3"/>
        <w:jc w:val="center"/>
        <w:rPr>
          <w:rFonts w:hint="eastAsia" w:ascii="新宋体" w:hAnsi="新宋体" w:eastAsia="新宋体" w:cs="新宋体"/>
          <w:color w:val="auto"/>
        </w:rPr>
      </w:pPr>
      <w:bookmarkStart w:id="13" w:name="_Toc16225"/>
      <w:bookmarkStart w:id="14" w:name="_Toc18209"/>
      <w:bookmarkStart w:id="15" w:name="_Toc230598475"/>
      <w:r>
        <w:rPr>
          <w:rFonts w:hint="eastAsia" w:ascii="新宋体" w:hAnsi="新宋体" w:eastAsia="新宋体" w:cs="新宋体"/>
          <w:color w:val="auto"/>
        </w:rPr>
        <w:t>第一章 竞争性谈判</w:t>
      </w:r>
      <w:bookmarkEnd w:id="13"/>
      <w:r>
        <w:rPr>
          <w:rFonts w:hint="eastAsia" w:ascii="新宋体" w:hAnsi="新宋体" w:eastAsia="新宋体" w:cs="新宋体"/>
          <w:color w:val="auto"/>
        </w:rPr>
        <w:t>公告</w:t>
      </w:r>
      <w:bookmarkEnd w:id="14"/>
    </w:p>
    <w:p>
      <w:pPr>
        <w:pStyle w:val="11"/>
        <w:spacing w:line="360" w:lineRule="auto"/>
        <w:jc w:val="center"/>
        <w:rPr>
          <w:rFonts w:hint="eastAsia" w:ascii="新宋体" w:hAnsi="新宋体" w:eastAsia="新宋体" w:cs="新宋体"/>
          <w:b/>
          <w:color w:val="auto"/>
          <w:sz w:val="28"/>
          <w:szCs w:val="28"/>
          <w:u w:val="none"/>
        </w:rPr>
      </w:pPr>
      <w:r>
        <w:rPr>
          <w:rFonts w:hint="eastAsia" w:ascii="新宋体" w:hAnsi="新宋体" w:eastAsia="新宋体" w:cs="新宋体"/>
          <w:b/>
          <w:color w:val="auto"/>
          <w:sz w:val="28"/>
          <w:szCs w:val="28"/>
        </w:rPr>
        <w:t>广西祥立工程咨询有限</w:t>
      </w:r>
      <w:r>
        <w:rPr>
          <w:rFonts w:hint="eastAsia" w:ascii="新宋体" w:hAnsi="新宋体" w:eastAsia="新宋体" w:cs="新宋体"/>
          <w:b/>
          <w:color w:val="auto"/>
          <w:sz w:val="28"/>
          <w:szCs w:val="28"/>
          <w:u w:val="none"/>
        </w:rPr>
        <w:t>责任公司关于</w:t>
      </w:r>
      <w:r>
        <w:rPr>
          <w:rFonts w:hint="eastAsia" w:ascii="新宋体" w:hAnsi="新宋体" w:eastAsia="新宋体" w:cs="新宋体"/>
          <w:b/>
          <w:color w:val="auto"/>
          <w:sz w:val="28"/>
          <w:szCs w:val="28"/>
          <w:u w:val="none"/>
          <w:lang w:eastAsia="zh-CN"/>
        </w:rPr>
        <w:t>灵山县檀圩镇中心校特殊教育资源教室设备采购</w:t>
      </w:r>
      <w:r>
        <w:rPr>
          <w:rFonts w:hint="eastAsia" w:ascii="新宋体" w:hAnsi="新宋体" w:eastAsia="新宋体" w:cs="新宋体"/>
          <w:b/>
          <w:color w:val="auto"/>
          <w:sz w:val="28"/>
          <w:szCs w:val="28"/>
          <w:u w:val="none"/>
        </w:rPr>
        <w:t>（</w:t>
      </w:r>
      <w:r>
        <w:rPr>
          <w:rFonts w:hint="eastAsia" w:ascii="新宋体" w:hAnsi="新宋体" w:eastAsia="新宋体" w:cs="新宋体"/>
          <w:b/>
          <w:color w:val="auto"/>
          <w:sz w:val="28"/>
          <w:szCs w:val="28"/>
          <w:u w:val="none"/>
          <w:lang w:eastAsia="zh-CN"/>
        </w:rPr>
        <w:t>QZZC2019-J1-2003-GXXL</w:t>
      </w:r>
      <w:r>
        <w:rPr>
          <w:rFonts w:hint="eastAsia" w:ascii="新宋体" w:hAnsi="新宋体" w:eastAsia="新宋体" w:cs="新宋体"/>
          <w:b/>
          <w:color w:val="auto"/>
          <w:sz w:val="28"/>
          <w:szCs w:val="28"/>
          <w:u w:val="none"/>
        </w:rPr>
        <w:t>）的竞争性谈判公告</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jc w:val="left"/>
        <w:textAlignment w:val="auto"/>
        <w:rPr>
          <w:rFonts w:hint="eastAsia" w:ascii="新宋体" w:hAnsi="新宋体" w:eastAsia="新宋体" w:cs="新宋体"/>
          <w:color w:val="auto"/>
          <w:sz w:val="28"/>
          <w:szCs w:val="28"/>
          <w:shd w:val="clear" w:color="auto" w:fill="auto"/>
          <w:lang w:eastAsia="zh-CN"/>
        </w:rPr>
      </w:pPr>
      <w:r>
        <w:rPr>
          <w:rFonts w:hint="eastAsia" w:ascii="新宋体" w:hAnsi="新宋体" w:eastAsia="新宋体" w:cs="新宋体"/>
          <w:color w:val="auto"/>
          <w:sz w:val="28"/>
          <w:szCs w:val="28"/>
          <w:u w:val="single"/>
        </w:rPr>
        <w:t>广西祥立工程咨询有限责任公司</w:t>
      </w:r>
      <w:r>
        <w:rPr>
          <w:rFonts w:hint="eastAsia" w:ascii="新宋体" w:hAnsi="新宋体" w:eastAsia="新宋体" w:cs="新宋体"/>
          <w:color w:val="auto"/>
          <w:sz w:val="28"/>
          <w:szCs w:val="28"/>
        </w:rPr>
        <w:t>受</w:t>
      </w:r>
      <w:r>
        <w:rPr>
          <w:rFonts w:hint="eastAsia" w:ascii="新宋体" w:hAnsi="新宋体" w:eastAsia="新宋体" w:cs="新宋体"/>
          <w:color w:val="auto"/>
          <w:sz w:val="28"/>
          <w:szCs w:val="28"/>
          <w:u w:val="single"/>
          <w:shd w:val="clear" w:color="auto" w:fill="auto"/>
          <w:lang w:eastAsia="zh-CN"/>
        </w:rPr>
        <w:t>灵山县檀圩镇中心校</w:t>
      </w:r>
      <w:r>
        <w:rPr>
          <w:rFonts w:hint="eastAsia" w:ascii="新宋体" w:hAnsi="新宋体" w:eastAsia="新宋体" w:cs="新宋体"/>
          <w:color w:val="auto"/>
          <w:sz w:val="28"/>
          <w:szCs w:val="28"/>
          <w:shd w:val="clear" w:color="auto" w:fill="auto"/>
        </w:rPr>
        <w:t>委托，根据</w:t>
      </w:r>
      <w:r>
        <w:rPr>
          <w:rFonts w:hint="eastAsia" w:ascii="新宋体" w:hAnsi="新宋体" w:eastAsia="新宋体" w:cs="新宋体"/>
          <w:color w:val="auto"/>
          <w:sz w:val="28"/>
          <w:szCs w:val="28"/>
          <w:u w:val="single"/>
          <w:shd w:val="clear" w:color="auto" w:fill="auto"/>
        </w:rPr>
        <w:t>《中华人民共和国政府采购法》、《政府采购非招标采购方式管理办法》</w:t>
      </w:r>
      <w:r>
        <w:rPr>
          <w:rFonts w:hint="eastAsia" w:ascii="新宋体" w:hAnsi="新宋体" w:eastAsia="新宋体" w:cs="新宋体"/>
          <w:color w:val="auto"/>
          <w:sz w:val="28"/>
          <w:szCs w:val="28"/>
          <w:shd w:val="clear" w:color="auto" w:fill="auto"/>
        </w:rPr>
        <w:t>等有关规定，现对</w:t>
      </w:r>
      <w:r>
        <w:rPr>
          <w:rFonts w:hint="eastAsia" w:ascii="新宋体" w:hAnsi="新宋体" w:eastAsia="新宋体" w:cs="新宋体"/>
          <w:color w:val="auto"/>
          <w:sz w:val="28"/>
          <w:szCs w:val="28"/>
          <w:u w:val="single"/>
          <w:shd w:val="clear" w:color="auto" w:fill="auto"/>
          <w:lang w:eastAsia="zh-CN"/>
        </w:rPr>
        <w:t>灵山县檀圩镇中心校特殊教育资源教室设备采购</w:t>
      </w:r>
      <w:r>
        <w:rPr>
          <w:rFonts w:hint="eastAsia" w:ascii="新宋体" w:hAnsi="新宋体" w:eastAsia="新宋体" w:cs="新宋体"/>
          <w:color w:val="auto"/>
          <w:sz w:val="28"/>
          <w:szCs w:val="28"/>
          <w:shd w:val="clear" w:color="auto" w:fill="auto"/>
        </w:rPr>
        <w:t>进行竞争性谈判采购，欢迎符合条件的供应商报名参加本次竞争性谈判采</w:t>
      </w:r>
      <w:r>
        <w:rPr>
          <w:rFonts w:hint="eastAsia" w:ascii="新宋体" w:hAnsi="新宋体" w:eastAsia="新宋体" w:cs="新宋体"/>
          <w:color w:val="auto"/>
          <w:sz w:val="28"/>
          <w:szCs w:val="28"/>
          <w:shd w:val="clear" w:color="auto" w:fill="auto"/>
          <w:lang w:eastAsia="zh-CN"/>
        </w:rPr>
        <w:t>购。</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jc w:val="left"/>
        <w:textAlignment w:val="auto"/>
        <w:rPr>
          <w:rFonts w:hint="eastAsia" w:ascii="新宋体" w:hAnsi="新宋体" w:eastAsia="新宋体" w:cs="新宋体"/>
          <w:bCs/>
          <w:color w:val="auto"/>
          <w:sz w:val="28"/>
          <w:szCs w:val="28"/>
          <w:u w:val="single"/>
          <w:shd w:val="clear" w:color="auto" w:fill="auto"/>
        </w:rPr>
      </w:pPr>
      <w:r>
        <w:rPr>
          <w:rFonts w:hint="eastAsia" w:ascii="新宋体" w:hAnsi="新宋体" w:eastAsia="新宋体" w:cs="新宋体"/>
          <w:color w:val="auto"/>
          <w:sz w:val="28"/>
          <w:szCs w:val="28"/>
          <w:shd w:val="clear" w:color="auto" w:fill="auto"/>
          <w:lang w:eastAsia="zh-CN"/>
        </w:rPr>
        <w:t>一、</w:t>
      </w:r>
      <w:r>
        <w:rPr>
          <w:rFonts w:hint="eastAsia" w:ascii="新宋体" w:hAnsi="新宋体" w:eastAsia="新宋体" w:cs="新宋体"/>
          <w:color w:val="auto"/>
          <w:sz w:val="28"/>
          <w:szCs w:val="28"/>
          <w:shd w:val="clear" w:color="auto" w:fill="auto"/>
        </w:rPr>
        <w:t>项目名称：</w:t>
      </w:r>
      <w:r>
        <w:rPr>
          <w:rFonts w:hint="eastAsia" w:ascii="新宋体" w:hAnsi="新宋体" w:eastAsia="新宋体" w:cs="新宋体"/>
          <w:bCs/>
          <w:color w:val="auto"/>
          <w:sz w:val="28"/>
          <w:szCs w:val="28"/>
          <w:u w:val="single"/>
          <w:shd w:val="clear" w:color="auto" w:fill="auto"/>
          <w:lang w:eastAsia="zh-CN"/>
        </w:rPr>
        <w:t>灵山县檀圩镇中心校特殊教育资源教室设备采购</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jc w:val="left"/>
        <w:textAlignment w:val="auto"/>
        <w:rPr>
          <w:rFonts w:hint="eastAsia" w:ascii="新宋体" w:hAnsi="新宋体" w:eastAsia="新宋体" w:cs="新宋体"/>
          <w:bCs/>
          <w:color w:val="auto"/>
          <w:sz w:val="28"/>
          <w:szCs w:val="28"/>
          <w:u w:val="single"/>
          <w:shd w:val="clear" w:color="auto" w:fill="auto"/>
          <w:lang w:eastAsia="zh-CN"/>
        </w:rPr>
      </w:pPr>
      <w:r>
        <w:rPr>
          <w:rFonts w:hint="eastAsia" w:ascii="新宋体" w:hAnsi="新宋体" w:eastAsia="新宋体" w:cs="新宋体"/>
          <w:bCs/>
          <w:color w:val="auto"/>
          <w:sz w:val="28"/>
          <w:szCs w:val="28"/>
          <w:shd w:val="clear" w:color="auto" w:fill="auto"/>
        </w:rPr>
        <w:t>二、采购编号：</w:t>
      </w:r>
      <w:r>
        <w:rPr>
          <w:rFonts w:hint="eastAsia" w:ascii="新宋体" w:hAnsi="新宋体" w:eastAsia="新宋体" w:cs="新宋体"/>
          <w:bCs/>
          <w:color w:val="auto"/>
          <w:sz w:val="28"/>
          <w:szCs w:val="28"/>
          <w:u w:val="single"/>
          <w:shd w:val="clear" w:color="auto" w:fill="auto"/>
          <w:lang w:val="en-US" w:eastAsia="zh-CN"/>
        </w:rPr>
        <w:t>QZZC</w:t>
      </w:r>
      <w:r>
        <w:rPr>
          <w:rFonts w:hint="eastAsia" w:ascii="新宋体" w:hAnsi="新宋体" w:eastAsia="新宋体" w:cs="新宋体"/>
          <w:bCs/>
          <w:color w:val="auto"/>
          <w:sz w:val="28"/>
          <w:szCs w:val="28"/>
          <w:u w:val="single"/>
          <w:shd w:val="clear" w:color="auto" w:fill="auto"/>
          <w:lang w:eastAsia="zh-CN"/>
        </w:rPr>
        <w:t>201</w:t>
      </w:r>
      <w:r>
        <w:rPr>
          <w:rFonts w:hint="eastAsia" w:ascii="新宋体" w:hAnsi="新宋体" w:eastAsia="新宋体" w:cs="新宋体"/>
          <w:bCs/>
          <w:color w:val="auto"/>
          <w:sz w:val="28"/>
          <w:szCs w:val="28"/>
          <w:u w:val="single"/>
          <w:shd w:val="clear" w:color="auto" w:fill="auto"/>
          <w:lang w:val="en-US" w:eastAsia="zh-CN"/>
        </w:rPr>
        <w:t>9</w:t>
      </w:r>
      <w:r>
        <w:rPr>
          <w:rFonts w:hint="eastAsia" w:ascii="新宋体" w:hAnsi="新宋体" w:eastAsia="新宋体" w:cs="新宋体"/>
          <w:bCs/>
          <w:color w:val="auto"/>
          <w:sz w:val="28"/>
          <w:szCs w:val="28"/>
          <w:u w:val="single"/>
          <w:shd w:val="clear" w:color="auto" w:fill="auto"/>
          <w:lang w:eastAsia="zh-CN"/>
        </w:rPr>
        <w:t>-J1-</w:t>
      </w:r>
      <w:r>
        <w:rPr>
          <w:rFonts w:hint="eastAsia" w:ascii="新宋体" w:hAnsi="新宋体" w:eastAsia="新宋体" w:cs="新宋体"/>
          <w:bCs/>
          <w:color w:val="auto"/>
          <w:sz w:val="28"/>
          <w:szCs w:val="28"/>
          <w:u w:val="single"/>
          <w:shd w:val="clear" w:color="auto" w:fill="auto"/>
          <w:lang w:val="en-US" w:eastAsia="zh-CN"/>
        </w:rPr>
        <w:t>2003</w:t>
      </w:r>
      <w:r>
        <w:rPr>
          <w:rFonts w:hint="eastAsia" w:ascii="新宋体" w:hAnsi="新宋体" w:eastAsia="新宋体" w:cs="新宋体"/>
          <w:bCs/>
          <w:color w:val="auto"/>
          <w:sz w:val="28"/>
          <w:szCs w:val="28"/>
          <w:u w:val="single"/>
          <w:shd w:val="clear" w:color="auto" w:fill="auto"/>
          <w:lang w:eastAsia="zh-CN"/>
        </w:rPr>
        <w:t>-</w:t>
      </w:r>
      <w:r>
        <w:rPr>
          <w:rFonts w:hint="eastAsia" w:ascii="新宋体" w:hAnsi="新宋体" w:eastAsia="新宋体" w:cs="新宋体"/>
          <w:bCs/>
          <w:color w:val="auto"/>
          <w:sz w:val="28"/>
          <w:szCs w:val="28"/>
          <w:u w:val="single"/>
          <w:shd w:val="clear" w:color="auto" w:fill="auto"/>
          <w:lang w:val="en-US" w:eastAsia="zh-CN"/>
        </w:rPr>
        <w:t>GXXL</w:t>
      </w:r>
    </w:p>
    <w:p>
      <w:pPr>
        <w:keepNext w:val="0"/>
        <w:keepLines w:val="0"/>
        <w:pageBreakBefore w:val="0"/>
        <w:widowControl w:val="0"/>
        <w:kinsoku/>
        <w:wordWrap/>
        <w:overflowPunct/>
        <w:topLinePunct w:val="0"/>
        <w:autoSpaceDE/>
        <w:autoSpaceDN/>
        <w:bidi w:val="0"/>
        <w:adjustRightInd/>
        <w:snapToGrid/>
        <w:spacing w:line="312" w:lineRule="auto"/>
        <w:ind w:firstLine="560"/>
        <w:jc w:val="left"/>
        <w:textAlignment w:val="auto"/>
        <w:rPr>
          <w:rFonts w:hint="eastAsia" w:ascii="新宋体" w:hAnsi="新宋体" w:eastAsia="新宋体" w:cs="新宋体"/>
          <w:bCs/>
          <w:color w:val="auto"/>
          <w:sz w:val="28"/>
          <w:szCs w:val="28"/>
          <w:u w:val="single"/>
          <w:shd w:val="clear" w:color="auto" w:fill="auto"/>
        </w:rPr>
      </w:pPr>
      <w:r>
        <w:rPr>
          <w:rFonts w:hint="eastAsia" w:ascii="新宋体" w:hAnsi="新宋体" w:eastAsia="新宋体" w:cs="新宋体"/>
          <w:bCs/>
          <w:color w:val="auto"/>
          <w:sz w:val="28"/>
          <w:szCs w:val="28"/>
          <w:shd w:val="clear" w:color="auto" w:fill="auto"/>
        </w:rPr>
        <w:t>三、采购项目的名称、数量、简要规格描述或项目基本概况介绍：</w:t>
      </w:r>
      <w:r>
        <w:rPr>
          <w:rFonts w:hint="eastAsia" w:ascii="新宋体" w:hAnsi="新宋体" w:eastAsia="新宋体" w:cs="新宋体"/>
          <w:bCs/>
          <w:color w:val="auto"/>
          <w:sz w:val="28"/>
          <w:szCs w:val="28"/>
          <w:u w:val="single"/>
          <w:shd w:val="clear" w:color="auto" w:fill="auto"/>
          <w:lang w:eastAsia="zh-CN"/>
        </w:rPr>
        <w:t>采购基础设备</w:t>
      </w:r>
      <w:r>
        <w:rPr>
          <w:rFonts w:hint="eastAsia" w:ascii="新宋体" w:hAnsi="新宋体" w:eastAsia="新宋体" w:cs="新宋体"/>
          <w:bCs/>
          <w:color w:val="auto"/>
          <w:sz w:val="28"/>
          <w:szCs w:val="28"/>
          <w:u w:val="single"/>
          <w:shd w:val="clear" w:color="auto" w:fill="auto"/>
          <w:lang w:val="en-US" w:eastAsia="zh-CN"/>
        </w:rPr>
        <w:t>1套、图书音像1套、益智类教具学具类1套、肌体运动辅助类1套、心理辅导类2套、语言评估训练类1套、送教上门类1套、环境创意（工程设计）1套等</w:t>
      </w:r>
      <w:r>
        <w:rPr>
          <w:rFonts w:hint="eastAsia" w:ascii="新宋体" w:hAnsi="新宋体" w:eastAsia="新宋体" w:cs="新宋体"/>
          <w:bCs/>
          <w:color w:val="auto"/>
          <w:sz w:val="28"/>
          <w:szCs w:val="28"/>
          <w:u w:val="single"/>
          <w:shd w:val="clear" w:color="auto" w:fill="auto"/>
          <w:lang w:eastAsia="zh-CN"/>
        </w:rPr>
        <w:t>，如需进一步了解详细内</w:t>
      </w:r>
      <w:r>
        <w:rPr>
          <w:rFonts w:hint="eastAsia" w:ascii="新宋体" w:hAnsi="新宋体" w:eastAsia="新宋体" w:cs="新宋体"/>
          <w:bCs/>
          <w:color w:val="auto"/>
          <w:sz w:val="28"/>
          <w:szCs w:val="28"/>
          <w:u w:val="single"/>
          <w:shd w:val="clear" w:color="auto" w:fill="auto"/>
        </w:rPr>
        <w:t>容，详见竞争性谈判文件。</w:t>
      </w:r>
    </w:p>
    <w:p>
      <w:pPr>
        <w:keepNext w:val="0"/>
        <w:keepLines w:val="0"/>
        <w:pageBreakBefore w:val="0"/>
        <w:widowControl w:val="0"/>
        <w:kinsoku/>
        <w:wordWrap/>
        <w:overflowPunct/>
        <w:topLinePunct w:val="0"/>
        <w:autoSpaceDE/>
        <w:autoSpaceDN/>
        <w:bidi w:val="0"/>
        <w:adjustRightInd/>
        <w:snapToGrid/>
        <w:spacing w:line="312" w:lineRule="auto"/>
        <w:ind w:firstLine="560"/>
        <w:jc w:val="left"/>
        <w:textAlignment w:val="auto"/>
        <w:rPr>
          <w:rFonts w:hint="eastAsia" w:ascii="新宋体" w:hAnsi="新宋体" w:eastAsia="新宋体" w:cs="新宋体"/>
          <w:color w:val="auto"/>
          <w:sz w:val="28"/>
          <w:szCs w:val="28"/>
          <w:u w:val="single"/>
          <w:shd w:val="clear" w:color="auto" w:fill="auto"/>
        </w:rPr>
      </w:pPr>
      <w:r>
        <w:rPr>
          <w:rFonts w:hint="eastAsia" w:ascii="新宋体" w:hAnsi="新宋体" w:eastAsia="新宋体" w:cs="新宋体"/>
          <w:bCs/>
          <w:color w:val="auto"/>
          <w:sz w:val="28"/>
          <w:szCs w:val="28"/>
          <w:shd w:val="clear" w:color="auto" w:fill="auto"/>
          <w:lang w:eastAsia="zh-CN"/>
        </w:rPr>
        <w:t>四、</w:t>
      </w:r>
      <w:r>
        <w:rPr>
          <w:rFonts w:hint="eastAsia" w:ascii="新宋体" w:hAnsi="新宋体" w:eastAsia="新宋体" w:cs="新宋体"/>
          <w:bCs/>
          <w:color w:val="auto"/>
          <w:sz w:val="28"/>
          <w:szCs w:val="28"/>
          <w:shd w:val="clear" w:color="auto" w:fill="auto"/>
        </w:rPr>
        <w:t>项目预算金额（人民币）：</w:t>
      </w:r>
      <w:r>
        <w:rPr>
          <w:rFonts w:hint="eastAsia" w:ascii="新宋体" w:hAnsi="新宋体" w:eastAsia="新宋体" w:cs="新宋体"/>
          <w:color w:val="auto"/>
          <w:sz w:val="28"/>
          <w:szCs w:val="28"/>
          <w:u w:val="single"/>
          <w:shd w:val="clear" w:color="auto" w:fill="auto"/>
        </w:rPr>
        <w:t>200</w:t>
      </w:r>
      <w:r>
        <w:rPr>
          <w:rFonts w:hint="eastAsia" w:ascii="新宋体" w:hAnsi="新宋体" w:eastAsia="新宋体" w:cs="新宋体"/>
          <w:color w:val="auto"/>
          <w:sz w:val="28"/>
          <w:szCs w:val="28"/>
          <w:u w:val="single"/>
          <w:shd w:val="clear" w:color="auto" w:fill="auto"/>
          <w:lang w:val="en-US" w:eastAsia="zh-CN"/>
        </w:rPr>
        <w:t>00</w:t>
      </w:r>
      <w:r>
        <w:rPr>
          <w:rFonts w:hint="eastAsia" w:ascii="新宋体" w:hAnsi="新宋体" w:eastAsia="新宋体" w:cs="新宋体"/>
          <w:color w:val="auto"/>
          <w:sz w:val="28"/>
          <w:szCs w:val="28"/>
          <w:u w:val="single"/>
          <w:shd w:val="clear" w:color="auto" w:fill="auto"/>
        </w:rPr>
        <w:t>0.00</w:t>
      </w:r>
      <w:r>
        <w:rPr>
          <w:rFonts w:hint="eastAsia" w:ascii="新宋体" w:hAnsi="新宋体" w:eastAsia="新宋体" w:cs="新宋体"/>
          <w:bCs/>
          <w:color w:val="auto"/>
          <w:sz w:val="28"/>
          <w:szCs w:val="28"/>
          <w:u w:val="single"/>
          <w:shd w:val="clear" w:color="auto" w:fill="auto"/>
        </w:rPr>
        <w:t>元。</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u w:val="single"/>
          <w:shd w:val="clear" w:color="auto" w:fill="auto"/>
        </w:rPr>
      </w:pPr>
      <w:r>
        <w:rPr>
          <w:rFonts w:hint="eastAsia" w:ascii="新宋体" w:hAnsi="新宋体" w:eastAsia="新宋体" w:cs="新宋体"/>
          <w:color w:val="auto"/>
          <w:sz w:val="28"/>
          <w:szCs w:val="28"/>
          <w:shd w:val="clear" w:color="auto" w:fill="auto"/>
        </w:rPr>
        <w:t>五、本项目需要落实的政府采购政策：</w:t>
      </w:r>
      <w:r>
        <w:rPr>
          <w:rFonts w:hint="eastAsia" w:ascii="新宋体" w:hAnsi="新宋体" w:eastAsia="新宋体" w:cs="新宋体"/>
          <w:color w:val="auto"/>
          <w:sz w:val="28"/>
          <w:szCs w:val="28"/>
          <w:u w:val="single"/>
          <w:shd w:val="clear" w:color="auto" w:fill="auto"/>
        </w:rPr>
        <w:t>根据《中华人民共和国政府采购法》、《政府采购货物和服务招标投标管理办法》、</w:t>
      </w:r>
      <w:r>
        <w:rPr>
          <w:rFonts w:hint="eastAsia" w:ascii="新宋体" w:hAnsi="新宋体" w:eastAsia="新宋体" w:cs="新宋体"/>
          <w:color w:val="auto"/>
          <w:sz w:val="28"/>
          <w:szCs w:val="28"/>
          <w:u w:val="single"/>
          <w:shd w:val="clear" w:color="auto" w:fill="auto"/>
        </w:rPr>
        <w:t>《政府采购非招标采购方式管理办法》</w:t>
      </w:r>
      <w:r>
        <w:rPr>
          <w:rFonts w:hint="eastAsia" w:ascii="新宋体" w:hAnsi="新宋体" w:eastAsia="新宋体" w:cs="新宋体"/>
          <w:color w:val="auto"/>
          <w:sz w:val="28"/>
          <w:szCs w:val="28"/>
          <w:u w:val="single"/>
          <w:shd w:val="clear" w:color="auto" w:fill="auto"/>
        </w:rPr>
        <w:t>等规定。</w:t>
      </w:r>
    </w:p>
    <w:p>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 xml:space="preserve">    六、</w:t>
      </w:r>
      <w:r>
        <w:rPr>
          <w:rFonts w:hint="eastAsia" w:ascii="新宋体" w:hAnsi="新宋体" w:eastAsia="新宋体" w:cs="新宋体"/>
          <w:color w:val="auto"/>
          <w:sz w:val="28"/>
          <w:szCs w:val="28"/>
          <w:shd w:val="clear" w:color="auto" w:fill="auto"/>
        </w:rPr>
        <w:t>竞标人</w:t>
      </w:r>
      <w:r>
        <w:rPr>
          <w:rFonts w:hint="eastAsia" w:ascii="新宋体" w:hAnsi="新宋体" w:eastAsia="新宋体" w:cs="新宋体"/>
          <w:color w:val="auto"/>
          <w:sz w:val="28"/>
          <w:szCs w:val="28"/>
          <w:shd w:val="clear" w:color="auto" w:fill="auto"/>
        </w:rPr>
        <w:t>资格要求：</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1、符合《中华人民共和国政府采购法》第二十二条规定，国内注册（指按国家有关规定要求注册的），生产或经营本次招标采购货物或服务的供应商。</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lang w:val="en-US" w:eastAsia="zh-CN"/>
        </w:rPr>
        <w:t>2</w:t>
      </w:r>
      <w:r>
        <w:rPr>
          <w:rFonts w:hint="eastAsia" w:ascii="新宋体" w:hAnsi="新宋体" w:eastAsia="新宋体" w:cs="新宋体"/>
          <w:color w:val="auto"/>
          <w:sz w:val="28"/>
          <w:szCs w:val="28"/>
          <w:shd w:val="clear" w:color="auto" w:fill="auto"/>
        </w:rPr>
        <w:t>、本项目不接受联合体投标。</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lang w:val="en-US" w:eastAsia="zh-CN"/>
        </w:rPr>
      </w:pPr>
      <w:r>
        <w:rPr>
          <w:rFonts w:hint="eastAsia" w:ascii="新宋体" w:hAnsi="新宋体" w:eastAsia="新宋体" w:cs="新宋体"/>
          <w:color w:val="auto"/>
          <w:sz w:val="28"/>
          <w:szCs w:val="28"/>
          <w:shd w:val="clear" w:color="auto" w:fill="auto"/>
          <w:lang w:val="en-US" w:eastAsia="zh-CN"/>
        </w:rPr>
        <w:t>3、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lang w:val="en-US" w:eastAsia="zh-CN"/>
        </w:rPr>
        <w:t>4、购买本项目竞争性谈判采购文件的竞标人方可参与竞标</w:t>
      </w:r>
      <w:r>
        <w:rPr>
          <w:rFonts w:hint="eastAsia" w:ascii="新宋体" w:hAnsi="新宋体" w:eastAsia="新宋体" w:cs="新宋体"/>
          <w:color w:val="auto"/>
          <w:sz w:val="28"/>
          <w:szCs w:val="28"/>
          <w:shd w:val="clear" w:color="auto" w:fill="auto"/>
        </w:rPr>
        <w:t>。</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七、竞争性谈判文件的获取：</w:t>
      </w:r>
    </w:p>
    <w:p>
      <w:pPr>
        <w:keepNext w:val="0"/>
        <w:keepLines w:val="0"/>
        <w:pageBreakBefore w:val="0"/>
        <w:widowControl w:val="0"/>
        <w:shd w:val="clear" w:fill="E7E6E6" w:themeFill="background2"/>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1.发售时间：</w:t>
      </w:r>
      <w:r>
        <w:rPr>
          <w:rFonts w:hint="eastAsia" w:ascii="新宋体" w:hAnsi="新宋体" w:eastAsia="新宋体" w:cs="新宋体"/>
          <w:color w:val="auto"/>
          <w:sz w:val="28"/>
          <w:szCs w:val="28"/>
          <w:u w:val="single"/>
          <w:shd w:val="clear" w:color="auto" w:fill="auto"/>
        </w:rPr>
        <w:t>201</w:t>
      </w:r>
      <w:r>
        <w:rPr>
          <w:rFonts w:hint="eastAsia" w:ascii="新宋体" w:hAnsi="新宋体" w:eastAsia="新宋体" w:cs="新宋体"/>
          <w:color w:val="auto"/>
          <w:sz w:val="28"/>
          <w:szCs w:val="28"/>
          <w:u w:val="single"/>
          <w:shd w:val="clear" w:color="auto" w:fill="auto"/>
          <w:lang w:val="en-US" w:eastAsia="zh-CN"/>
        </w:rPr>
        <w:t>9</w:t>
      </w:r>
      <w:r>
        <w:rPr>
          <w:rFonts w:hint="eastAsia" w:ascii="新宋体" w:hAnsi="新宋体" w:eastAsia="新宋体" w:cs="新宋体"/>
          <w:color w:val="auto"/>
          <w:sz w:val="28"/>
          <w:szCs w:val="28"/>
          <w:shd w:val="clear" w:color="auto" w:fill="auto"/>
        </w:rPr>
        <w:t>年</w:t>
      </w:r>
      <w:r>
        <w:rPr>
          <w:rFonts w:hint="eastAsia" w:ascii="新宋体" w:hAnsi="新宋体" w:eastAsia="新宋体" w:cs="新宋体"/>
          <w:color w:val="auto"/>
          <w:sz w:val="28"/>
          <w:szCs w:val="28"/>
          <w:u w:val="single"/>
          <w:shd w:val="clear" w:color="auto" w:fill="auto"/>
          <w:lang w:val="en-US" w:eastAsia="zh-CN"/>
        </w:rPr>
        <w:t xml:space="preserve"> 12</w:t>
      </w:r>
      <w:r>
        <w:rPr>
          <w:rFonts w:hint="eastAsia" w:ascii="新宋体" w:hAnsi="新宋体" w:eastAsia="新宋体" w:cs="新宋体"/>
          <w:color w:val="auto"/>
          <w:sz w:val="28"/>
          <w:szCs w:val="28"/>
          <w:shd w:val="clear" w:color="auto" w:fill="auto"/>
        </w:rPr>
        <w:t>月</w:t>
      </w:r>
      <w:r>
        <w:rPr>
          <w:rFonts w:hint="eastAsia" w:ascii="新宋体" w:hAnsi="新宋体" w:eastAsia="新宋体" w:cs="新宋体"/>
          <w:color w:val="auto"/>
          <w:sz w:val="28"/>
          <w:szCs w:val="28"/>
          <w:u w:val="single"/>
          <w:shd w:val="clear" w:color="auto" w:fill="auto"/>
          <w:lang w:val="en-US" w:eastAsia="zh-CN"/>
        </w:rPr>
        <w:t>17</w:t>
      </w:r>
      <w:r>
        <w:rPr>
          <w:rFonts w:hint="eastAsia" w:ascii="新宋体" w:hAnsi="新宋体" w:eastAsia="新宋体" w:cs="新宋体"/>
          <w:color w:val="auto"/>
          <w:sz w:val="28"/>
          <w:szCs w:val="28"/>
          <w:shd w:val="clear" w:color="auto" w:fill="auto"/>
        </w:rPr>
        <w:t>日公告发布之时起至</w:t>
      </w:r>
      <w:r>
        <w:rPr>
          <w:rFonts w:hint="eastAsia" w:ascii="新宋体" w:hAnsi="新宋体" w:eastAsia="新宋体" w:cs="新宋体"/>
          <w:color w:val="auto"/>
          <w:sz w:val="28"/>
          <w:szCs w:val="28"/>
          <w:u w:val="single"/>
          <w:shd w:val="clear" w:color="auto" w:fill="auto"/>
        </w:rPr>
        <w:t>201</w:t>
      </w:r>
      <w:r>
        <w:rPr>
          <w:rFonts w:hint="eastAsia" w:ascii="新宋体" w:hAnsi="新宋体" w:eastAsia="新宋体" w:cs="新宋体"/>
          <w:color w:val="auto"/>
          <w:sz w:val="28"/>
          <w:szCs w:val="28"/>
          <w:u w:val="single"/>
          <w:shd w:val="clear" w:color="auto" w:fill="auto"/>
          <w:lang w:val="en-US" w:eastAsia="zh-CN"/>
        </w:rPr>
        <w:t>9</w:t>
      </w:r>
      <w:r>
        <w:rPr>
          <w:rFonts w:hint="eastAsia" w:ascii="新宋体" w:hAnsi="新宋体" w:eastAsia="新宋体" w:cs="新宋体"/>
          <w:color w:val="auto"/>
          <w:sz w:val="28"/>
          <w:szCs w:val="28"/>
          <w:shd w:val="clear" w:color="auto" w:fill="auto"/>
        </w:rPr>
        <w:t>年</w:t>
      </w:r>
      <w:r>
        <w:rPr>
          <w:rFonts w:hint="eastAsia" w:ascii="新宋体" w:hAnsi="新宋体" w:eastAsia="新宋体" w:cs="新宋体"/>
          <w:color w:val="auto"/>
          <w:sz w:val="28"/>
          <w:szCs w:val="28"/>
          <w:u w:val="single"/>
          <w:shd w:val="clear" w:color="auto" w:fill="auto"/>
          <w:lang w:val="en-US" w:eastAsia="zh-CN"/>
        </w:rPr>
        <w:t>12</w:t>
      </w:r>
      <w:r>
        <w:rPr>
          <w:rFonts w:hint="eastAsia" w:ascii="新宋体" w:hAnsi="新宋体" w:eastAsia="新宋体" w:cs="新宋体"/>
          <w:color w:val="auto"/>
          <w:sz w:val="28"/>
          <w:szCs w:val="28"/>
          <w:shd w:val="clear" w:color="auto" w:fill="auto"/>
        </w:rPr>
        <w:t>月</w:t>
      </w:r>
      <w:r>
        <w:rPr>
          <w:rFonts w:hint="eastAsia" w:ascii="新宋体" w:hAnsi="新宋体" w:eastAsia="新宋体" w:cs="新宋体"/>
          <w:color w:val="auto"/>
          <w:sz w:val="28"/>
          <w:szCs w:val="28"/>
          <w:u w:val="single"/>
          <w:shd w:val="clear" w:color="auto" w:fill="auto"/>
          <w:lang w:val="en-US" w:eastAsia="zh-CN"/>
        </w:rPr>
        <w:t>19</w:t>
      </w:r>
      <w:r>
        <w:rPr>
          <w:rFonts w:hint="eastAsia" w:ascii="新宋体" w:hAnsi="新宋体" w:eastAsia="新宋体" w:cs="新宋体"/>
          <w:color w:val="auto"/>
          <w:sz w:val="28"/>
          <w:szCs w:val="28"/>
          <w:shd w:val="clear" w:color="auto" w:fill="auto"/>
        </w:rPr>
        <w:t>日止（工作日）,每日9:00-12:00时，15:00-18:00时；</w:t>
      </w:r>
    </w:p>
    <w:p>
      <w:pPr>
        <w:keepNext w:val="0"/>
        <w:keepLines w:val="0"/>
        <w:pageBreakBefore w:val="0"/>
        <w:widowControl w:val="0"/>
        <w:kinsoku/>
        <w:wordWrap/>
        <w:overflowPunct/>
        <w:topLinePunct w:val="0"/>
        <w:autoSpaceDE/>
        <w:autoSpaceDN/>
        <w:bidi w:val="0"/>
        <w:adjustRightInd/>
        <w:snapToGrid/>
        <w:spacing w:line="312" w:lineRule="auto"/>
        <w:ind w:firstLine="560"/>
        <w:textAlignment w:val="auto"/>
        <w:rPr>
          <w:rFonts w:hint="eastAsia" w:ascii="新宋体" w:hAnsi="新宋体" w:eastAsia="新宋体" w:cs="新宋体"/>
          <w:color w:val="auto"/>
          <w:sz w:val="28"/>
          <w:szCs w:val="28"/>
          <w:u w:val="single"/>
          <w:shd w:val="clear" w:color="auto" w:fill="auto"/>
        </w:rPr>
      </w:pPr>
      <w:r>
        <w:rPr>
          <w:rFonts w:hint="eastAsia" w:ascii="新宋体" w:hAnsi="新宋体" w:eastAsia="新宋体" w:cs="新宋体"/>
          <w:color w:val="auto"/>
          <w:sz w:val="28"/>
          <w:szCs w:val="28"/>
          <w:shd w:val="clear" w:color="auto" w:fill="auto"/>
        </w:rPr>
        <w:t>2.发售地点：</w:t>
      </w:r>
      <w:r>
        <w:rPr>
          <w:rFonts w:hint="eastAsia" w:ascii="新宋体" w:hAnsi="新宋体" w:eastAsia="新宋体" w:cs="新宋体"/>
          <w:color w:val="auto"/>
          <w:sz w:val="28"/>
          <w:szCs w:val="28"/>
          <w:u w:val="single"/>
          <w:shd w:val="clear" w:color="auto" w:fill="auto"/>
        </w:rPr>
        <w:t>广西祥立工程咨询有限责任公司</w:t>
      </w:r>
      <w:r>
        <w:rPr>
          <w:rFonts w:hint="eastAsia" w:ascii="新宋体" w:hAnsi="新宋体" w:eastAsia="新宋体" w:cs="新宋体"/>
          <w:color w:val="auto"/>
          <w:sz w:val="28"/>
          <w:szCs w:val="28"/>
          <w:u w:val="single"/>
          <w:shd w:val="clear" w:color="auto" w:fill="auto"/>
        </w:rPr>
        <w:t>(</w:t>
      </w:r>
      <w:r>
        <w:rPr>
          <w:rFonts w:hint="eastAsia" w:ascii="新宋体" w:hAnsi="新宋体" w:eastAsia="新宋体" w:cs="新宋体"/>
          <w:color w:val="auto"/>
          <w:sz w:val="28"/>
          <w:szCs w:val="28"/>
          <w:u w:val="single"/>
          <w:shd w:val="clear" w:color="auto" w:fill="auto"/>
          <w:lang w:val="en-US" w:eastAsia="zh-CN"/>
        </w:rPr>
        <w:t>南宁市星光大道223号荣宝华商城A-12号楼208、209、210、212室</w:t>
      </w:r>
      <w:r>
        <w:rPr>
          <w:rFonts w:hint="eastAsia" w:ascii="新宋体" w:hAnsi="新宋体" w:eastAsia="新宋体" w:cs="新宋体"/>
          <w:color w:val="auto"/>
          <w:sz w:val="28"/>
          <w:szCs w:val="28"/>
          <w:u w:val="single"/>
          <w:shd w:val="clear" w:color="auto" w:fill="auto"/>
        </w:rPr>
        <w:t>) ；</w:t>
      </w:r>
    </w:p>
    <w:p>
      <w:pPr>
        <w:keepNext w:val="0"/>
        <w:keepLines w:val="0"/>
        <w:pageBreakBefore w:val="0"/>
        <w:widowControl w:val="0"/>
        <w:kinsoku/>
        <w:wordWrap/>
        <w:overflowPunct/>
        <w:topLinePunct w:val="0"/>
        <w:autoSpaceDE/>
        <w:autoSpaceDN/>
        <w:bidi w:val="0"/>
        <w:adjustRightInd/>
        <w:snapToGrid/>
        <w:spacing w:line="312" w:lineRule="auto"/>
        <w:ind w:firstLine="56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3.售价：竞争性谈判文件工本费每本</w:t>
      </w:r>
      <w:r>
        <w:rPr>
          <w:rFonts w:hint="eastAsia" w:ascii="新宋体" w:hAnsi="新宋体" w:eastAsia="新宋体" w:cs="新宋体"/>
          <w:color w:val="auto"/>
          <w:sz w:val="28"/>
          <w:szCs w:val="28"/>
          <w:u w:val="single"/>
          <w:shd w:val="clear" w:color="auto" w:fill="auto"/>
        </w:rPr>
        <w:t xml:space="preserve"> 250 </w:t>
      </w:r>
      <w:r>
        <w:rPr>
          <w:rFonts w:hint="eastAsia" w:ascii="新宋体" w:hAnsi="新宋体" w:eastAsia="新宋体" w:cs="新宋体"/>
          <w:color w:val="auto"/>
          <w:sz w:val="28"/>
          <w:szCs w:val="28"/>
          <w:shd w:val="clear" w:color="auto" w:fill="auto"/>
        </w:rPr>
        <w:t>元，售后不退。</w:t>
      </w:r>
    </w:p>
    <w:p>
      <w:pPr>
        <w:keepNext w:val="0"/>
        <w:keepLines w:val="0"/>
        <w:pageBreakBefore w:val="0"/>
        <w:widowControl w:val="0"/>
        <w:kinsoku/>
        <w:wordWrap/>
        <w:overflowPunct/>
        <w:topLinePunct w:val="0"/>
        <w:autoSpaceDE/>
        <w:autoSpaceDN/>
        <w:bidi w:val="0"/>
        <w:adjustRightInd/>
        <w:snapToGrid/>
        <w:spacing w:line="312" w:lineRule="auto"/>
        <w:ind w:firstLine="56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4.发售条件：由报名单位法定代表人（负责人）或委托代理人必须携带以下证件和资料报名并购买竞争性谈判文件：（1）有效营业执照</w:t>
      </w:r>
      <w:r>
        <w:rPr>
          <w:rFonts w:hint="eastAsia" w:ascii="新宋体" w:hAnsi="新宋体" w:eastAsia="新宋体" w:cs="新宋体"/>
          <w:color w:val="auto"/>
          <w:sz w:val="28"/>
          <w:szCs w:val="28"/>
          <w:shd w:val="clear" w:color="auto" w:fill="auto"/>
          <w:lang w:eastAsia="zh-CN"/>
        </w:rPr>
        <w:t>（</w:t>
      </w:r>
      <w:r>
        <w:rPr>
          <w:rFonts w:hint="eastAsia" w:ascii="新宋体" w:hAnsi="新宋体" w:eastAsia="新宋体" w:cs="新宋体"/>
          <w:color w:val="auto"/>
          <w:sz w:val="28"/>
          <w:szCs w:val="28"/>
          <w:shd w:val="clear" w:color="auto" w:fill="auto"/>
        </w:rPr>
        <w:t>副本</w:t>
      </w:r>
      <w:r>
        <w:rPr>
          <w:rFonts w:hint="eastAsia" w:ascii="新宋体" w:hAnsi="新宋体" w:eastAsia="新宋体" w:cs="新宋体"/>
          <w:color w:val="auto"/>
          <w:sz w:val="28"/>
          <w:szCs w:val="28"/>
          <w:shd w:val="clear" w:color="auto" w:fill="auto"/>
          <w:lang w:eastAsia="zh-CN"/>
        </w:rPr>
        <w:t>）复印件</w:t>
      </w:r>
      <w:r>
        <w:rPr>
          <w:rFonts w:hint="eastAsia" w:ascii="新宋体" w:hAnsi="新宋体" w:eastAsia="新宋体" w:cs="新宋体"/>
          <w:color w:val="auto"/>
          <w:sz w:val="28"/>
          <w:szCs w:val="28"/>
          <w:shd w:val="clear" w:color="auto" w:fill="auto"/>
        </w:rPr>
        <w:t>；（</w:t>
      </w:r>
      <w:r>
        <w:rPr>
          <w:rFonts w:hint="eastAsia" w:ascii="新宋体" w:hAnsi="新宋体" w:eastAsia="新宋体" w:cs="新宋体"/>
          <w:color w:val="auto"/>
          <w:sz w:val="28"/>
          <w:szCs w:val="28"/>
          <w:shd w:val="clear" w:color="auto" w:fill="auto"/>
          <w:lang w:val="en-US" w:eastAsia="zh-CN"/>
        </w:rPr>
        <w:t>2</w:t>
      </w:r>
      <w:r>
        <w:rPr>
          <w:rFonts w:hint="eastAsia" w:ascii="新宋体" w:hAnsi="新宋体" w:eastAsia="新宋体" w:cs="新宋体"/>
          <w:color w:val="auto"/>
          <w:sz w:val="28"/>
          <w:szCs w:val="28"/>
          <w:shd w:val="clear" w:color="auto" w:fill="auto"/>
        </w:rPr>
        <w:t>）法定代表人（负责人）身份证</w:t>
      </w:r>
      <w:r>
        <w:rPr>
          <w:rFonts w:hint="eastAsia" w:ascii="新宋体" w:hAnsi="新宋体" w:eastAsia="新宋体" w:cs="新宋体"/>
          <w:color w:val="auto"/>
          <w:sz w:val="28"/>
          <w:szCs w:val="28"/>
          <w:shd w:val="clear" w:color="auto" w:fill="auto"/>
          <w:lang w:eastAsia="zh-CN"/>
        </w:rPr>
        <w:t>复印件</w:t>
      </w:r>
      <w:r>
        <w:rPr>
          <w:rFonts w:hint="eastAsia" w:ascii="新宋体" w:hAnsi="新宋体" w:eastAsia="新宋体" w:cs="新宋体"/>
          <w:color w:val="auto"/>
          <w:sz w:val="28"/>
          <w:szCs w:val="28"/>
          <w:shd w:val="clear" w:color="auto" w:fill="auto"/>
        </w:rPr>
        <w:t>；（</w:t>
      </w:r>
      <w:r>
        <w:rPr>
          <w:rFonts w:hint="eastAsia" w:ascii="新宋体" w:hAnsi="新宋体" w:eastAsia="新宋体" w:cs="新宋体"/>
          <w:color w:val="auto"/>
          <w:sz w:val="28"/>
          <w:szCs w:val="28"/>
          <w:shd w:val="clear" w:color="auto" w:fill="auto"/>
          <w:lang w:val="en-US" w:eastAsia="zh-CN"/>
        </w:rPr>
        <w:t>3</w:t>
      </w:r>
      <w:r>
        <w:rPr>
          <w:rFonts w:hint="eastAsia" w:ascii="新宋体" w:hAnsi="新宋体" w:eastAsia="新宋体" w:cs="新宋体"/>
          <w:color w:val="auto"/>
          <w:sz w:val="28"/>
          <w:szCs w:val="28"/>
          <w:shd w:val="clear" w:color="auto" w:fill="auto"/>
        </w:rPr>
        <w:t>）委托时必须提供委托代理书</w:t>
      </w:r>
      <w:r>
        <w:rPr>
          <w:rFonts w:hint="eastAsia" w:ascii="新宋体" w:hAnsi="新宋体" w:eastAsia="新宋体" w:cs="新宋体"/>
          <w:color w:val="auto"/>
          <w:sz w:val="28"/>
          <w:szCs w:val="28"/>
          <w:shd w:val="clear" w:color="auto" w:fill="auto"/>
          <w:lang w:eastAsia="zh-CN"/>
        </w:rPr>
        <w:t>原件</w:t>
      </w:r>
      <w:r>
        <w:rPr>
          <w:rFonts w:hint="eastAsia" w:ascii="新宋体" w:hAnsi="新宋体" w:eastAsia="新宋体" w:cs="新宋体"/>
          <w:color w:val="auto"/>
          <w:sz w:val="28"/>
          <w:szCs w:val="28"/>
          <w:shd w:val="clear" w:color="auto" w:fill="auto"/>
        </w:rPr>
        <w:t>、委托代理人身份证；</w:t>
      </w:r>
      <w:r>
        <w:rPr>
          <w:rFonts w:hint="eastAsia" w:ascii="新宋体" w:hAnsi="新宋体" w:eastAsia="新宋体" w:cs="新宋体"/>
          <w:color w:val="auto"/>
          <w:sz w:val="28"/>
          <w:szCs w:val="28"/>
          <w:shd w:val="clear" w:color="auto" w:fill="auto"/>
          <w:lang w:eastAsia="zh-CN"/>
        </w:rPr>
        <w:t>（</w:t>
      </w:r>
      <w:r>
        <w:rPr>
          <w:rFonts w:hint="eastAsia" w:ascii="新宋体" w:hAnsi="新宋体" w:eastAsia="新宋体" w:cs="新宋体"/>
          <w:color w:val="auto"/>
          <w:sz w:val="28"/>
          <w:szCs w:val="28"/>
          <w:shd w:val="clear" w:color="auto" w:fill="auto"/>
          <w:lang w:val="en-US" w:eastAsia="zh-CN"/>
        </w:rPr>
        <w:t>4</w:t>
      </w:r>
      <w:r>
        <w:rPr>
          <w:rFonts w:hint="eastAsia" w:ascii="新宋体" w:hAnsi="新宋体" w:eastAsia="新宋体" w:cs="新宋体"/>
          <w:color w:val="auto"/>
          <w:sz w:val="28"/>
          <w:szCs w:val="28"/>
          <w:shd w:val="clear" w:color="auto" w:fill="auto"/>
          <w:lang w:eastAsia="zh-CN"/>
        </w:rPr>
        <w:t>）</w:t>
      </w:r>
      <w:r>
        <w:rPr>
          <w:rFonts w:hint="eastAsia" w:ascii="新宋体" w:hAnsi="新宋体" w:eastAsia="新宋体" w:cs="新宋体"/>
          <w:color w:val="auto"/>
          <w:sz w:val="28"/>
          <w:szCs w:val="28"/>
          <w:shd w:val="clear" w:color="auto" w:fill="auto"/>
        </w:rPr>
        <w:t>“信用中国”网站(www.creditchina.gov.cn)、中国政府采购网(www.ccgp.gov.cn)</w:t>
      </w:r>
      <w:r>
        <w:rPr>
          <w:rFonts w:hint="eastAsia" w:ascii="新宋体" w:hAnsi="新宋体" w:eastAsia="新宋体" w:cs="新宋体"/>
          <w:color w:val="auto"/>
          <w:sz w:val="28"/>
          <w:szCs w:val="28"/>
          <w:shd w:val="clear" w:color="auto" w:fill="auto"/>
          <w:lang w:eastAsia="zh-CN"/>
        </w:rPr>
        <w:t>查询的政府采购严重违法失信行为记录结果截图。</w:t>
      </w:r>
      <w:r>
        <w:rPr>
          <w:rFonts w:hint="eastAsia" w:ascii="新宋体" w:hAnsi="新宋体" w:eastAsia="新宋体" w:cs="新宋体"/>
          <w:color w:val="auto"/>
          <w:sz w:val="28"/>
          <w:szCs w:val="28"/>
          <w:shd w:val="clear" w:color="auto" w:fill="auto"/>
        </w:rPr>
        <w:t>（上述证件和资料提供原件核查并收取复印件，所有复印件必须加盖报名单位公章）</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 xml:space="preserve">    八、竞标保证金(人民币)：</w:t>
      </w:r>
      <w:r>
        <w:rPr>
          <w:rFonts w:hint="eastAsia" w:ascii="新宋体" w:hAnsi="新宋体" w:eastAsia="新宋体" w:cs="新宋体"/>
          <w:color w:val="auto"/>
          <w:sz w:val="28"/>
          <w:szCs w:val="28"/>
          <w:u w:val="single"/>
          <w:shd w:val="clear" w:color="auto" w:fill="auto"/>
          <w:lang w:eastAsia="zh-CN"/>
        </w:rPr>
        <w:t>伍仟元整</w:t>
      </w:r>
      <w:r>
        <w:rPr>
          <w:rFonts w:hint="eastAsia" w:ascii="新宋体" w:hAnsi="新宋体" w:eastAsia="新宋体" w:cs="新宋体"/>
          <w:color w:val="auto"/>
          <w:sz w:val="28"/>
          <w:szCs w:val="28"/>
          <w:u w:val="single"/>
          <w:shd w:val="clear" w:color="auto" w:fill="auto"/>
        </w:rPr>
        <w:t>（¥</w:t>
      </w:r>
      <w:r>
        <w:rPr>
          <w:rFonts w:hint="eastAsia" w:ascii="新宋体" w:hAnsi="新宋体" w:eastAsia="新宋体" w:cs="新宋体"/>
          <w:color w:val="auto"/>
          <w:sz w:val="28"/>
          <w:szCs w:val="28"/>
          <w:u w:val="single"/>
          <w:shd w:val="clear" w:color="auto" w:fill="auto"/>
          <w:lang w:val="en-US" w:eastAsia="zh-CN"/>
        </w:rPr>
        <w:t>5</w:t>
      </w:r>
      <w:r>
        <w:rPr>
          <w:rFonts w:hint="eastAsia" w:ascii="新宋体" w:hAnsi="新宋体" w:eastAsia="新宋体" w:cs="新宋体"/>
          <w:color w:val="auto"/>
          <w:sz w:val="28"/>
          <w:szCs w:val="28"/>
          <w:u w:val="single"/>
          <w:shd w:val="clear" w:color="auto" w:fill="auto"/>
        </w:rPr>
        <w:t>000.00元）</w:t>
      </w:r>
      <w:r>
        <w:rPr>
          <w:rFonts w:hint="eastAsia" w:ascii="新宋体" w:hAnsi="新宋体" w:eastAsia="新宋体" w:cs="新宋体"/>
          <w:color w:val="auto"/>
          <w:sz w:val="28"/>
          <w:szCs w:val="28"/>
          <w:shd w:val="clear" w:color="auto" w:fill="auto"/>
        </w:rPr>
        <w:t>。竞标人应于递交响应文件截止时间前一天（即</w:t>
      </w:r>
      <w:r>
        <w:rPr>
          <w:rFonts w:hint="eastAsia" w:ascii="新宋体" w:hAnsi="新宋体" w:eastAsia="新宋体" w:cs="新宋体"/>
          <w:color w:val="auto"/>
          <w:sz w:val="28"/>
          <w:szCs w:val="28"/>
          <w:u w:val="single"/>
          <w:shd w:val="clear" w:color="auto" w:fill="auto"/>
        </w:rPr>
        <w:t>201</w:t>
      </w:r>
      <w:r>
        <w:rPr>
          <w:rFonts w:hint="eastAsia" w:ascii="新宋体" w:hAnsi="新宋体" w:eastAsia="新宋体" w:cs="新宋体"/>
          <w:color w:val="auto"/>
          <w:sz w:val="28"/>
          <w:szCs w:val="28"/>
          <w:u w:val="single"/>
          <w:shd w:val="clear" w:color="auto" w:fill="auto"/>
          <w:lang w:val="en-US" w:eastAsia="zh-CN"/>
        </w:rPr>
        <w:t>9</w:t>
      </w:r>
      <w:r>
        <w:rPr>
          <w:rFonts w:hint="eastAsia" w:ascii="新宋体" w:hAnsi="新宋体" w:eastAsia="新宋体" w:cs="新宋体"/>
          <w:color w:val="auto"/>
          <w:sz w:val="28"/>
          <w:szCs w:val="28"/>
          <w:shd w:val="clear" w:color="auto" w:fill="auto"/>
        </w:rPr>
        <w:t>年</w:t>
      </w:r>
      <w:r>
        <w:rPr>
          <w:rFonts w:hint="eastAsia" w:ascii="新宋体" w:hAnsi="新宋体" w:eastAsia="新宋体" w:cs="新宋体"/>
          <w:color w:val="auto"/>
          <w:sz w:val="28"/>
          <w:szCs w:val="28"/>
          <w:u w:val="single"/>
          <w:shd w:val="clear" w:color="auto" w:fill="auto"/>
          <w:lang w:val="en-US" w:eastAsia="zh-CN"/>
        </w:rPr>
        <w:t>12</w:t>
      </w:r>
      <w:r>
        <w:rPr>
          <w:rFonts w:hint="eastAsia" w:ascii="新宋体" w:hAnsi="新宋体" w:eastAsia="新宋体" w:cs="新宋体"/>
          <w:color w:val="auto"/>
          <w:sz w:val="28"/>
          <w:szCs w:val="28"/>
          <w:shd w:val="clear" w:color="auto" w:fill="auto"/>
        </w:rPr>
        <w:t>月</w:t>
      </w:r>
      <w:r>
        <w:rPr>
          <w:rFonts w:hint="eastAsia" w:ascii="新宋体" w:hAnsi="新宋体" w:eastAsia="新宋体" w:cs="新宋体"/>
          <w:color w:val="auto"/>
          <w:sz w:val="28"/>
          <w:szCs w:val="28"/>
          <w:u w:val="single"/>
          <w:shd w:val="clear" w:color="auto" w:fill="auto"/>
          <w:lang w:val="en-US" w:eastAsia="zh-CN"/>
        </w:rPr>
        <w:t>19</w:t>
      </w:r>
      <w:r>
        <w:rPr>
          <w:rFonts w:hint="eastAsia" w:ascii="新宋体" w:hAnsi="新宋体" w:eastAsia="新宋体" w:cs="新宋体"/>
          <w:color w:val="auto"/>
          <w:sz w:val="28"/>
          <w:szCs w:val="28"/>
          <w:shd w:val="clear" w:color="auto" w:fill="auto"/>
        </w:rPr>
        <w:t>日</w:t>
      </w:r>
      <w:r>
        <w:rPr>
          <w:rFonts w:hint="eastAsia" w:ascii="新宋体" w:hAnsi="新宋体" w:eastAsia="新宋体" w:cs="新宋体"/>
          <w:color w:val="auto"/>
          <w:sz w:val="28"/>
          <w:szCs w:val="28"/>
          <w:u w:val="single"/>
          <w:shd w:val="clear" w:color="auto" w:fill="auto"/>
        </w:rPr>
        <w:t>17</w:t>
      </w:r>
      <w:r>
        <w:rPr>
          <w:rFonts w:hint="eastAsia" w:ascii="新宋体" w:hAnsi="新宋体" w:eastAsia="新宋体" w:cs="新宋体"/>
          <w:color w:val="auto"/>
          <w:sz w:val="28"/>
          <w:szCs w:val="28"/>
          <w:shd w:val="clear" w:color="auto" w:fill="auto"/>
        </w:rPr>
        <w:t>时</w:t>
      </w:r>
      <w:r>
        <w:rPr>
          <w:rFonts w:hint="eastAsia" w:ascii="新宋体" w:hAnsi="新宋体" w:eastAsia="新宋体" w:cs="新宋体"/>
          <w:color w:val="auto"/>
          <w:sz w:val="28"/>
          <w:szCs w:val="28"/>
          <w:u w:val="single"/>
          <w:shd w:val="clear" w:color="auto" w:fill="auto"/>
        </w:rPr>
        <w:t>00</w:t>
      </w:r>
      <w:r>
        <w:rPr>
          <w:rFonts w:hint="eastAsia" w:ascii="新宋体" w:hAnsi="新宋体" w:eastAsia="新宋体" w:cs="新宋体"/>
          <w:color w:val="auto"/>
          <w:sz w:val="28"/>
          <w:szCs w:val="28"/>
          <w:shd w:val="clear" w:color="auto" w:fill="auto"/>
        </w:rPr>
        <w:t>分前）将竞标保证金以电汇、转帐、汇票、现金等形式缴交至以下账户：</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u w:val="single"/>
          <w:shd w:val="clear" w:color="auto" w:fill="auto"/>
        </w:rPr>
      </w:pPr>
      <w:r>
        <w:rPr>
          <w:rFonts w:hint="eastAsia" w:ascii="新宋体" w:hAnsi="新宋体" w:eastAsia="新宋体" w:cs="新宋体"/>
          <w:color w:val="auto"/>
          <w:sz w:val="28"/>
          <w:szCs w:val="28"/>
          <w:shd w:val="clear" w:color="auto" w:fill="auto"/>
        </w:rPr>
        <w:t>开户名称：</w:t>
      </w:r>
      <w:r>
        <w:rPr>
          <w:rFonts w:hint="eastAsia" w:ascii="新宋体" w:hAnsi="新宋体" w:eastAsia="新宋体" w:cs="新宋体"/>
          <w:color w:val="auto"/>
          <w:sz w:val="28"/>
          <w:szCs w:val="28"/>
          <w:u w:val="single"/>
          <w:shd w:val="clear" w:color="auto" w:fill="auto"/>
        </w:rPr>
        <w:t>广西祥立工程咨询有限责任公司</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 xml:space="preserve">    开户银行：</w:t>
      </w:r>
      <w:r>
        <w:rPr>
          <w:rFonts w:hint="eastAsia" w:ascii="新宋体" w:hAnsi="新宋体" w:eastAsia="新宋体" w:cs="新宋体"/>
          <w:color w:val="auto"/>
          <w:sz w:val="28"/>
          <w:szCs w:val="28"/>
          <w:u w:val="single"/>
          <w:shd w:val="clear" w:color="auto" w:fill="auto"/>
        </w:rPr>
        <w:t xml:space="preserve"> 中国建设银行股份有限公司南宁青山路支行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 xml:space="preserve">    银行账号：</w:t>
      </w:r>
      <w:r>
        <w:rPr>
          <w:rFonts w:hint="eastAsia" w:ascii="新宋体" w:hAnsi="新宋体" w:eastAsia="新宋体" w:cs="新宋体"/>
          <w:color w:val="auto"/>
          <w:sz w:val="28"/>
          <w:szCs w:val="28"/>
          <w:u w:val="single"/>
          <w:shd w:val="clear" w:color="auto" w:fill="auto"/>
        </w:rPr>
        <w:t xml:space="preserve"> 45001604556050704136</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九、响应文件递交截止时间和地点: 竞标人应于</w:t>
      </w:r>
      <w:r>
        <w:rPr>
          <w:rFonts w:hint="eastAsia" w:ascii="新宋体" w:hAnsi="新宋体" w:eastAsia="新宋体" w:cs="新宋体"/>
          <w:color w:val="auto"/>
          <w:sz w:val="28"/>
          <w:szCs w:val="28"/>
          <w:u w:val="single"/>
          <w:shd w:val="clear" w:color="auto" w:fill="auto"/>
        </w:rPr>
        <w:t>201</w:t>
      </w:r>
      <w:r>
        <w:rPr>
          <w:rFonts w:hint="eastAsia" w:ascii="新宋体" w:hAnsi="新宋体" w:eastAsia="新宋体" w:cs="新宋体"/>
          <w:color w:val="auto"/>
          <w:sz w:val="28"/>
          <w:szCs w:val="28"/>
          <w:u w:val="single"/>
          <w:shd w:val="clear" w:color="auto" w:fill="auto"/>
          <w:lang w:val="en-US" w:eastAsia="zh-CN"/>
        </w:rPr>
        <w:t>9</w:t>
      </w:r>
      <w:r>
        <w:rPr>
          <w:rFonts w:hint="eastAsia" w:ascii="新宋体" w:hAnsi="新宋体" w:eastAsia="新宋体" w:cs="新宋体"/>
          <w:color w:val="auto"/>
          <w:sz w:val="28"/>
          <w:szCs w:val="28"/>
          <w:shd w:val="clear" w:color="auto" w:fill="auto"/>
        </w:rPr>
        <w:t>年</w:t>
      </w:r>
      <w:r>
        <w:rPr>
          <w:rFonts w:hint="eastAsia" w:ascii="新宋体" w:hAnsi="新宋体" w:eastAsia="新宋体" w:cs="新宋体"/>
          <w:color w:val="auto"/>
          <w:sz w:val="28"/>
          <w:szCs w:val="28"/>
          <w:u w:val="single"/>
          <w:shd w:val="clear" w:color="auto" w:fill="auto"/>
          <w:lang w:val="en-US" w:eastAsia="zh-CN"/>
        </w:rPr>
        <w:t>12</w:t>
      </w:r>
      <w:r>
        <w:rPr>
          <w:rFonts w:hint="eastAsia" w:ascii="新宋体" w:hAnsi="新宋体" w:eastAsia="新宋体" w:cs="新宋体"/>
          <w:color w:val="auto"/>
          <w:sz w:val="28"/>
          <w:szCs w:val="28"/>
          <w:shd w:val="clear" w:color="auto" w:fill="auto"/>
        </w:rPr>
        <w:t>月</w:t>
      </w:r>
      <w:r>
        <w:rPr>
          <w:rFonts w:hint="eastAsia" w:ascii="新宋体" w:hAnsi="新宋体" w:eastAsia="新宋体" w:cs="新宋体"/>
          <w:color w:val="auto"/>
          <w:sz w:val="28"/>
          <w:szCs w:val="28"/>
          <w:u w:val="single"/>
          <w:shd w:val="clear" w:color="auto" w:fill="auto"/>
          <w:lang w:val="en-US" w:eastAsia="zh-CN"/>
        </w:rPr>
        <w:t>20</w:t>
      </w:r>
      <w:r>
        <w:rPr>
          <w:rFonts w:hint="eastAsia" w:ascii="新宋体" w:hAnsi="新宋体" w:eastAsia="新宋体" w:cs="新宋体"/>
          <w:color w:val="auto"/>
          <w:sz w:val="28"/>
          <w:szCs w:val="28"/>
          <w:shd w:val="clear" w:color="auto" w:fill="auto"/>
        </w:rPr>
        <w:t>日</w:t>
      </w:r>
      <w:r>
        <w:rPr>
          <w:rFonts w:hint="eastAsia" w:ascii="新宋体" w:hAnsi="新宋体" w:eastAsia="新宋体" w:cs="新宋体"/>
          <w:color w:val="auto"/>
          <w:sz w:val="28"/>
          <w:szCs w:val="28"/>
          <w:u w:val="single"/>
          <w:shd w:val="clear" w:color="auto" w:fill="auto"/>
          <w:lang w:val="en-US" w:eastAsia="zh-CN"/>
        </w:rPr>
        <w:t>14</w:t>
      </w:r>
      <w:r>
        <w:rPr>
          <w:rFonts w:hint="eastAsia" w:ascii="新宋体" w:hAnsi="新宋体" w:eastAsia="新宋体" w:cs="新宋体"/>
          <w:color w:val="auto"/>
          <w:sz w:val="28"/>
          <w:szCs w:val="28"/>
          <w:shd w:val="clear" w:color="auto" w:fill="auto"/>
        </w:rPr>
        <w:t>时</w:t>
      </w:r>
      <w:r>
        <w:rPr>
          <w:rFonts w:hint="eastAsia" w:ascii="新宋体" w:hAnsi="新宋体" w:eastAsia="新宋体" w:cs="新宋体"/>
          <w:color w:val="auto"/>
          <w:sz w:val="28"/>
          <w:szCs w:val="28"/>
          <w:u w:val="single"/>
          <w:shd w:val="clear" w:color="auto" w:fill="auto"/>
          <w:lang w:val="en-US" w:eastAsia="zh-CN"/>
        </w:rPr>
        <w:t>3</w:t>
      </w:r>
      <w:r>
        <w:rPr>
          <w:rFonts w:hint="eastAsia" w:ascii="新宋体" w:hAnsi="新宋体" w:eastAsia="新宋体" w:cs="新宋体"/>
          <w:color w:val="auto"/>
          <w:sz w:val="28"/>
          <w:szCs w:val="28"/>
          <w:u w:val="single"/>
          <w:shd w:val="clear" w:color="auto" w:fill="auto"/>
        </w:rPr>
        <w:t>0</w:t>
      </w:r>
      <w:r>
        <w:rPr>
          <w:rFonts w:hint="eastAsia" w:ascii="新宋体" w:hAnsi="新宋体" w:eastAsia="新宋体" w:cs="新宋体"/>
          <w:color w:val="auto"/>
          <w:sz w:val="28"/>
          <w:szCs w:val="28"/>
          <w:shd w:val="clear" w:color="auto" w:fill="auto"/>
        </w:rPr>
        <w:t>分止，将响应文件密封送交到</w:t>
      </w:r>
      <w:r>
        <w:rPr>
          <w:rFonts w:hint="eastAsia" w:ascii="新宋体" w:hAnsi="新宋体" w:eastAsia="新宋体" w:cs="新宋体"/>
          <w:color w:val="auto"/>
          <w:sz w:val="28"/>
          <w:szCs w:val="28"/>
          <w:u w:val="single"/>
          <w:shd w:val="clear" w:color="auto" w:fill="auto"/>
        </w:rPr>
        <w:t>广西祥立工程咨询有限责任公司钦州第一分公司灵山办事处（灵山县江南路国际汽车城6号楼2楼）</w:t>
      </w:r>
      <w:r>
        <w:rPr>
          <w:rFonts w:hint="eastAsia" w:ascii="新宋体" w:hAnsi="新宋体" w:eastAsia="新宋体" w:cs="新宋体"/>
          <w:color w:val="auto"/>
          <w:sz w:val="28"/>
          <w:szCs w:val="28"/>
          <w:shd w:val="clear" w:color="auto" w:fill="auto"/>
        </w:rPr>
        <w:t>，逾期送达的将予以拒收，未按竞争性谈判文件要求密封的作无效响应文件处理。</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十、谈判时间及地点：</w:t>
      </w:r>
      <w:r>
        <w:rPr>
          <w:rFonts w:hint="eastAsia" w:ascii="新宋体" w:hAnsi="新宋体" w:eastAsia="新宋体" w:cs="新宋体"/>
          <w:color w:val="auto"/>
          <w:sz w:val="28"/>
          <w:szCs w:val="28"/>
          <w:u w:val="single"/>
          <w:shd w:val="clear" w:color="auto" w:fill="auto"/>
        </w:rPr>
        <w:t>201</w:t>
      </w:r>
      <w:r>
        <w:rPr>
          <w:rFonts w:hint="eastAsia" w:ascii="新宋体" w:hAnsi="新宋体" w:eastAsia="新宋体" w:cs="新宋体"/>
          <w:color w:val="auto"/>
          <w:sz w:val="28"/>
          <w:szCs w:val="28"/>
          <w:u w:val="single"/>
          <w:shd w:val="clear" w:color="auto" w:fill="auto"/>
          <w:lang w:val="en-US" w:eastAsia="zh-CN"/>
        </w:rPr>
        <w:t>9</w:t>
      </w:r>
      <w:r>
        <w:rPr>
          <w:rFonts w:hint="eastAsia" w:ascii="新宋体" w:hAnsi="新宋体" w:eastAsia="新宋体" w:cs="新宋体"/>
          <w:color w:val="auto"/>
          <w:sz w:val="28"/>
          <w:szCs w:val="28"/>
          <w:shd w:val="clear" w:color="auto" w:fill="auto"/>
        </w:rPr>
        <w:t>年</w:t>
      </w:r>
      <w:r>
        <w:rPr>
          <w:rFonts w:hint="eastAsia" w:ascii="新宋体" w:hAnsi="新宋体" w:eastAsia="新宋体" w:cs="新宋体"/>
          <w:color w:val="auto"/>
          <w:sz w:val="28"/>
          <w:szCs w:val="28"/>
          <w:u w:val="single"/>
          <w:shd w:val="clear" w:color="auto" w:fill="auto"/>
        </w:rPr>
        <w:t>9</w:t>
      </w:r>
      <w:r>
        <w:rPr>
          <w:rFonts w:hint="eastAsia" w:ascii="新宋体" w:hAnsi="新宋体" w:eastAsia="新宋体" w:cs="新宋体"/>
          <w:color w:val="auto"/>
          <w:sz w:val="28"/>
          <w:szCs w:val="28"/>
          <w:shd w:val="clear" w:color="auto" w:fill="auto"/>
        </w:rPr>
        <w:t>月</w:t>
      </w:r>
      <w:r>
        <w:rPr>
          <w:rFonts w:hint="eastAsia" w:ascii="新宋体" w:hAnsi="新宋体" w:eastAsia="新宋体" w:cs="新宋体"/>
          <w:color w:val="auto"/>
          <w:sz w:val="28"/>
          <w:szCs w:val="28"/>
          <w:u w:val="single"/>
          <w:shd w:val="clear" w:color="auto" w:fill="auto"/>
        </w:rPr>
        <w:t>2</w:t>
      </w:r>
      <w:r>
        <w:rPr>
          <w:rFonts w:hint="eastAsia" w:ascii="新宋体" w:hAnsi="新宋体" w:eastAsia="新宋体" w:cs="新宋体"/>
          <w:color w:val="auto"/>
          <w:sz w:val="28"/>
          <w:szCs w:val="28"/>
          <w:u w:val="single"/>
          <w:shd w:val="clear" w:color="auto" w:fill="auto"/>
          <w:lang w:val="en-US" w:eastAsia="zh-CN"/>
        </w:rPr>
        <w:t>0</w:t>
      </w:r>
      <w:r>
        <w:rPr>
          <w:rFonts w:hint="eastAsia" w:ascii="新宋体" w:hAnsi="新宋体" w:eastAsia="新宋体" w:cs="新宋体"/>
          <w:color w:val="auto"/>
          <w:sz w:val="28"/>
          <w:szCs w:val="28"/>
          <w:shd w:val="clear" w:color="auto" w:fill="auto"/>
        </w:rPr>
        <w:t>日</w:t>
      </w:r>
      <w:r>
        <w:rPr>
          <w:rFonts w:hint="eastAsia" w:ascii="新宋体" w:hAnsi="新宋体" w:eastAsia="新宋体" w:cs="新宋体"/>
          <w:color w:val="auto"/>
          <w:sz w:val="28"/>
          <w:szCs w:val="28"/>
          <w:u w:val="single"/>
          <w:shd w:val="clear" w:color="auto" w:fill="auto"/>
        </w:rPr>
        <w:t>1</w:t>
      </w:r>
      <w:r>
        <w:rPr>
          <w:rFonts w:hint="eastAsia" w:ascii="新宋体" w:hAnsi="新宋体" w:eastAsia="新宋体" w:cs="新宋体"/>
          <w:color w:val="auto"/>
          <w:sz w:val="28"/>
          <w:szCs w:val="28"/>
          <w:u w:val="single"/>
          <w:shd w:val="clear" w:color="auto" w:fill="auto"/>
          <w:lang w:val="en-US" w:eastAsia="zh-CN"/>
        </w:rPr>
        <w:t>4</w:t>
      </w:r>
      <w:r>
        <w:rPr>
          <w:rFonts w:hint="eastAsia" w:ascii="新宋体" w:hAnsi="新宋体" w:eastAsia="新宋体" w:cs="新宋体"/>
          <w:color w:val="auto"/>
          <w:sz w:val="28"/>
          <w:szCs w:val="28"/>
          <w:shd w:val="clear" w:color="auto" w:fill="auto"/>
        </w:rPr>
        <w:t>时</w:t>
      </w:r>
      <w:r>
        <w:rPr>
          <w:rFonts w:hint="eastAsia" w:ascii="新宋体" w:hAnsi="新宋体" w:eastAsia="新宋体" w:cs="新宋体"/>
          <w:color w:val="auto"/>
          <w:sz w:val="28"/>
          <w:szCs w:val="28"/>
          <w:u w:val="single"/>
          <w:shd w:val="clear" w:color="auto" w:fill="auto"/>
          <w:lang w:val="en-US" w:eastAsia="zh-CN"/>
        </w:rPr>
        <w:t>3</w:t>
      </w:r>
      <w:r>
        <w:rPr>
          <w:rFonts w:hint="eastAsia" w:ascii="新宋体" w:hAnsi="新宋体" w:eastAsia="新宋体" w:cs="新宋体"/>
          <w:color w:val="auto"/>
          <w:sz w:val="28"/>
          <w:szCs w:val="28"/>
          <w:u w:val="single"/>
          <w:shd w:val="clear" w:color="auto" w:fill="auto"/>
        </w:rPr>
        <w:t>0</w:t>
      </w:r>
      <w:r>
        <w:rPr>
          <w:rFonts w:hint="eastAsia" w:ascii="新宋体" w:hAnsi="新宋体" w:eastAsia="新宋体" w:cs="新宋体"/>
          <w:color w:val="auto"/>
          <w:sz w:val="28"/>
          <w:szCs w:val="28"/>
          <w:shd w:val="clear" w:color="auto" w:fill="auto"/>
        </w:rPr>
        <w:t>分整截标后为谈判小组与谈判竞标人谈判时间，具体时间由</w:t>
      </w:r>
      <w:r>
        <w:rPr>
          <w:rFonts w:hint="eastAsia" w:ascii="新宋体" w:hAnsi="新宋体" w:eastAsia="新宋体" w:cs="新宋体"/>
          <w:color w:val="auto"/>
          <w:sz w:val="28"/>
          <w:szCs w:val="28"/>
          <w:u w:val="single"/>
          <w:shd w:val="clear" w:color="auto" w:fill="auto"/>
        </w:rPr>
        <w:t>广西祥立工程咨询有限责任公司</w:t>
      </w:r>
      <w:r>
        <w:rPr>
          <w:rFonts w:hint="eastAsia" w:ascii="新宋体" w:hAnsi="新宋体" w:eastAsia="新宋体" w:cs="新宋体"/>
          <w:color w:val="auto"/>
          <w:sz w:val="28"/>
          <w:szCs w:val="28"/>
          <w:shd w:val="clear" w:color="auto" w:fill="auto"/>
        </w:rPr>
        <w:t>另行通知。地点：</w:t>
      </w:r>
      <w:r>
        <w:rPr>
          <w:rFonts w:hint="eastAsia" w:ascii="新宋体" w:hAnsi="新宋体" w:eastAsia="新宋体" w:cs="新宋体"/>
          <w:i w:val="0"/>
          <w:caps w:val="0"/>
          <w:color w:val="auto"/>
          <w:spacing w:val="0"/>
          <w:sz w:val="28"/>
          <w:szCs w:val="28"/>
          <w:u w:val="single"/>
          <w:shd w:val="clear" w:color="auto" w:fill="auto"/>
        </w:rPr>
        <w:t>广西祥立工程咨询有限责任公司钦州第一分公司灵山办事处（灵山县江南路国际汽车城6号楼2楼）</w:t>
      </w:r>
      <w:r>
        <w:rPr>
          <w:rFonts w:hint="eastAsia" w:ascii="新宋体" w:hAnsi="新宋体" w:eastAsia="新宋体" w:cs="新宋体"/>
          <w:color w:val="auto"/>
          <w:sz w:val="28"/>
          <w:szCs w:val="28"/>
          <w:u w:val="single"/>
          <w:shd w:val="clear" w:color="auto" w:fill="auto"/>
        </w:rPr>
        <w:t>，</w:t>
      </w:r>
      <w:r>
        <w:rPr>
          <w:rFonts w:hint="eastAsia" w:ascii="新宋体" w:hAnsi="新宋体" w:eastAsia="新宋体" w:cs="新宋体"/>
          <w:color w:val="auto"/>
          <w:sz w:val="28"/>
          <w:szCs w:val="28"/>
          <w:shd w:val="clear" w:color="auto" w:fill="auto"/>
        </w:rPr>
        <w:t>参加谈判的法定代表人（负责人）或委托代理人必须持有效证件[法定代表人（负责人）凭身份证或委托代理人凭法人授权委托书原件和身份证]依时到达指定地点等候当面谈判。</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jc w:val="both"/>
        <w:textAlignment w:val="auto"/>
        <w:rPr>
          <w:rFonts w:hint="eastAsia" w:ascii="新宋体" w:hAnsi="新宋体" w:eastAsia="新宋体" w:cs="新宋体"/>
          <w:color w:val="auto"/>
          <w:sz w:val="28"/>
          <w:szCs w:val="28"/>
          <w:shd w:val="clear" w:color="auto" w:fill="auto"/>
        </w:rPr>
      </w:pPr>
      <w:r>
        <w:rPr>
          <w:rFonts w:hint="eastAsia" w:ascii="新宋体" w:hAnsi="新宋体" w:eastAsia="新宋体" w:cs="新宋体"/>
          <w:color w:val="auto"/>
          <w:sz w:val="28"/>
          <w:szCs w:val="28"/>
          <w:shd w:val="clear" w:color="auto" w:fill="auto"/>
        </w:rPr>
        <w:t xml:space="preserve"> 十一、本次竞争性谈判联系事项：</w:t>
      </w: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single"/>
          <w:shd w:val="clear" w:color="auto" w:fill="auto"/>
        </w:rPr>
      </w:pPr>
      <w:r>
        <w:rPr>
          <w:rFonts w:hint="eastAsia" w:ascii="新宋体" w:hAnsi="新宋体" w:eastAsia="新宋体" w:cs="新宋体"/>
          <w:color w:val="auto"/>
          <w:sz w:val="28"/>
          <w:szCs w:val="28"/>
          <w:shd w:val="clear" w:color="auto" w:fill="auto"/>
        </w:rPr>
        <w:t>1.采购人名称：</w:t>
      </w:r>
      <w:r>
        <w:rPr>
          <w:rFonts w:hint="eastAsia" w:ascii="新宋体" w:hAnsi="新宋体" w:eastAsia="新宋体" w:cs="新宋体"/>
          <w:color w:val="auto"/>
          <w:sz w:val="28"/>
          <w:szCs w:val="28"/>
          <w:shd w:val="clear" w:color="auto" w:fill="auto"/>
          <w:lang w:eastAsia="zh-CN"/>
        </w:rPr>
        <w:t xml:space="preserve">灵山县檀圩镇中心校 </w:t>
      </w:r>
      <w:r>
        <w:rPr>
          <w:rFonts w:hint="eastAsia" w:ascii="新宋体" w:hAnsi="新宋体" w:eastAsia="新宋体" w:cs="新宋体"/>
          <w:color w:val="auto"/>
          <w:sz w:val="28"/>
          <w:szCs w:val="28"/>
          <w:u w:val="single"/>
          <w:shd w:val="clear" w:color="auto" w:fill="auto"/>
        </w:rPr>
        <w:t xml:space="preserve"> </w:t>
      </w:r>
    </w:p>
    <w:p>
      <w:pPr>
        <w:keepNext w:val="0"/>
        <w:keepLines w:val="0"/>
        <w:pageBreakBefore w:val="0"/>
        <w:widowControl w:val="0"/>
        <w:shd w:val="clear" w:fill="E7E6E6" w:themeFill="background2"/>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single"/>
          <w:shd w:val="clear" w:color="auto" w:fill="auto"/>
        </w:rPr>
      </w:pPr>
      <w:r>
        <w:rPr>
          <w:rFonts w:hint="eastAsia" w:ascii="新宋体" w:hAnsi="新宋体" w:eastAsia="新宋体" w:cs="新宋体"/>
          <w:color w:val="auto"/>
          <w:sz w:val="28"/>
          <w:szCs w:val="28"/>
          <w:shd w:val="clear" w:color="auto" w:fill="auto"/>
        </w:rPr>
        <w:t>地址：</w:t>
      </w:r>
      <w:r>
        <w:rPr>
          <w:rFonts w:hint="eastAsia" w:ascii="新宋体" w:hAnsi="新宋体" w:eastAsia="新宋体" w:cs="新宋体"/>
          <w:color w:val="auto"/>
          <w:sz w:val="28"/>
          <w:szCs w:val="28"/>
          <w:shd w:val="clear" w:color="auto" w:fill="auto"/>
          <w:lang w:eastAsia="zh-CN"/>
        </w:rPr>
        <w:t>灵山县檀圩镇</w:t>
      </w:r>
    </w:p>
    <w:p>
      <w:pPr>
        <w:keepNext w:val="0"/>
        <w:keepLines w:val="0"/>
        <w:pageBreakBefore w:val="0"/>
        <w:widowControl w:val="0"/>
        <w:shd w:val="clear" w:fill="E7E6E6" w:themeFill="background2"/>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shd w:val="clear" w:color="auto" w:fill="auto"/>
          <w:lang w:eastAsia="zh-CN"/>
        </w:rPr>
      </w:pPr>
      <w:r>
        <w:rPr>
          <w:rFonts w:hint="eastAsia" w:ascii="新宋体" w:hAnsi="新宋体" w:eastAsia="新宋体" w:cs="新宋体"/>
          <w:color w:val="auto"/>
          <w:sz w:val="28"/>
          <w:szCs w:val="28"/>
          <w:shd w:val="clear" w:color="auto" w:fill="auto"/>
        </w:rPr>
        <w:t>联系人</w:t>
      </w:r>
      <w:r>
        <w:rPr>
          <w:rFonts w:hint="eastAsia" w:ascii="新宋体" w:hAnsi="新宋体" w:eastAsia="新宋体" w:cs="新宋体"/>
          <w:color w:val="auto"/>
          <w:sz w:val="28"/>
          <w:szCs w:val="28"/>
          <w:shd w:val="clear" w:color="auto" w:fill="auto"/>
          <w:lang w:eastAsia="zh-CN"/>
        </w:rPr>
        <w:t>：姚政汉</w:t>
      </w:r>
    </w:p>
    <w:p>
      <w:pPr>
        <w:keepNext w:val="0"/>
        <w:keepLines w:val="0"/>
        <w:pageBreakBefore w:val="0"/>
        <w:widowControl w:val="0"/>
        <w:shd w:val="clear" w:fill="E7E6E6" w:themeFill="background2"/>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single"/>
          <w:shd w:val="clear" w:color="auto" w:fill="auto"/>
          <w:lang w:val="en-US" w:eastAsia="zh-CN"/>
        </w:rPr>
      </w:pPr>
      <w:r>
        <w:rPr>
          <w:rFonts w:hint="eastAsia" w:ascii="新宋体" w:hAnsi="新宋体" w:eastAsia="新宋体" w:cs="新宋体"/>
          <w:color w:val="auto"/>
          <w:sz w:val="28"/>
          <w:szCs w:val="28"/>
          <w:shd w:val="clear" w:color="auto" w:fill="auto"/>
        </w:rPr>
        <w:t>电话:</w:t>
      </w:r>
      <w:r>
        <w:rPr>
          <w:rFonts w:hint="eastAsia" w:ascii="新宋体" w:hAnsi="新宋体" w:eastAsia="新宋体" w:cs="新宋体"/>
          <w:color w:val="auto"/>
          <w:sz w:val="28"/>
          <w:szCs w:val="28"/>
          <w:shd w:val="clear" w:color="auto" w:fill="auto"/>
          <w:lang w:val="en-US" w:eastAsia="zh-CN"/>
        </w:rPr>
        <w:t>13307876661</w:t>
      </w: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none"/>
          <w:shd w:val="clear" w:color="auto" w:fill="auto"/>
        </w:rPr>
      </w:pPr>
      <w:r>
        <w:rPr>
          <w:rFonts w:hint="eastAsia" w:ascii="新宋体" w:hAnsi="新宋体" w:eastAsia="新宋体" w:cs="新宋体"/>
          <w:color w:val="auto"/>
          <w:sz w:val="28"/>
          <w:szCs w:val="28"/>
          <w:shd w:val="clear" w:color="auto" w:fill="auto"/>
        </w:rPr>
        <w:t>2.采购代理机构名称：</w:t>
      </w:r>
      <w:r>
        <w:rPr>
          <w:rFonts w:hint="eastAsia" w:ascii="新宋体" w:hAnsi="新宋体" w:eastAsia="新宋体" w:cs="新宋体"/>
          <w:color w:val="auto"/>
          <w:sz w:val="28"/>
          <w:szCs w:val="28"/>
          <w:u w:val="none"/>
          <w:shd w:val="clear" w:color="auto" w:fill="auto"/>
        </w:rPr>
        <w:t>广西祥立工程咨询有限责任公司</w:t>
      </w: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none"/>
          <w:shd w:val="clear" w:color="auto" w:fill="auto"/>
        </w:rPr>
      </w:pPr>
      <w:r>
        <w:rPr>
          <w:rFonts w:hint="eastAsia" w:ascii="新宋体" w:hAnsi="新宋体" w:eastAsia="新宋体" w:cs="新宋体"/>
          <w:color w:val="auto"/>
          <w:sz w:val="28"/>
          <w:szCs w:val="28"/>
          <w:u w:val="none"/>
          <w:shd w:val="clear" w:color="auto" w:fill="auto"/>
        </w:rPr>
        <w:t>地址：南宁市星光大道223号荣宝华商城A12栋一单元二楼212室</w:t>
      </w: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none"/>
          <w:lang w:eastAsia="zh-CN"/>
        </w:rPr>
      </w:pPr>
      <w:r>
        <w:rPr>
          <w:rFonts w:hint="eastAsia" w:ascii="新宋体" w:hAnsi="新宋体" w:eastAsia="新宋体" w:cs="新宋体"/>
          <w:color w:val="auto"/>
          <w:sz w:val="28"/>
          <w:szCs w:val="28"/>
          <w:u w:val="none"/>
        </w:rPr>
        <w:t xml:space="preserve">联系人： </w:t>
      </w:r>
      <w:r>
        <w:rPr>
          <w:rFonts w:hint="eastAsia" w:ascii="新宋体" w:hAnsi="新宋体" w:eastAsia="新宋体" w:cs="新宋体"/>
          <w:color w:val="auto"/>
          <w:sz w:val="28"/>
          <w:szCs w:val="28"/>
          <w:u w:val="none"/>
          <w:lang w:eastAsia="zh-CN"/>
        </w:rPr>
        <w:t>梁强 </w:t>
      </w:r>
      <w:r>
        <w:rPr>
          <w:rFonts w:hint="eastAsia" w:ascii="新宋体" w:hAnsi="新宋体" w:eastAsia="新宋体" w:cs="新宋体"/>
          <w:color w:val="auto"/>
          <w:sz w:val="28"/>
          <w:szCs w:val="28"/>
          <w:u w:val="none"/>
          <w:lang w:val="en-US" w:eastAsia="zh-CN"/>
        </w:rPr>
        <w:t xml:space="preserve">     </w:t>
      </w:r>
      <w:r>
        <w:rPr>
          <w:rFonts w:hint="eastAsia" w:ascii="新宋体" w:hAnsi="新宋体" w:eastAsia="新宋体" w:cs="新宋体"/>
          <w:color w:val="auto"/>
          <w:sz w:val="28"/>
          <w:szCs w:val="28"/>
          <w:u w:val="none"/>
          <w:lang w:eastAsia="zh-CN"/>
        </w:rPr>
        <w:t>联系电话：13367678833、0777-6422858</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u w:val="none"/>
          <w:shd w:val="clear" w:fill="E7E6E6" w:themeFill="background2"/>
        </w:rPr>
      </w:pPr>
      <w:r>
        <w:rPr>
          <w:rFonts w:hint="eastAsia" w:ascii="新宋体" w:hAnsi="新宋体" w:eastAsia="新宋体" w:cs="新宋体"/>
          <w:color w:val="auto"/>
          <w:sz w:val="28"/>
          <w:szCs w:val="28"/>
          <w:u w:val="none"/>
          <w:lang w:val="en-US" w:eastAsia="zh-CN"/>
        </w:rPr>
        <w:t>3.</w:t>
      </w:r>
      <w:r>
        <w:rPr>
          <w:rFonts w:hint="eastAsia" w:ascii="新宋体" w:hAnsi="新宋体" w:eastAsia="新宋体" w:cs="新宋体"/>
          <w:color w:val="auto"/>
          <w:sz w:val="28"/>
          <w:szCs w:val="28"/>
          <w:u w:val="none"/>
        </w:rPr>
        <w:t>监督部门:</w:t>
      </w:r>
      <w:r>
        <w:rPr>
          <w:rFonts w:hint="eastAsia" w:ascii="新宋体" w:hAnsi="新宋体" w:eastAsia="新宋体" w:cs="新宋体"/>
          <w:color w:val="auto"/>
          <w:sz w:val="28"/>
          <w:szCs w:val="28"/>
          <w:u w:val="none"/>
          <w:shd w:val="clear" w:fill="E7E6E6" w:themeFill="background2"/>
        </w:rPr>
        <w:t xml:space="preserve"> 灵山县财政局政府采购监督管理部门 </w:t>
      </w:r>
      <w:r>
        <w:rPr>
          <w:rFonts w:hint="eastAsia" w:ascii="新宋体" w:hAnsi="新宋体" w:eastAsia="新宋体" w:cs="新宋体"/>
          <w:color w:val="auto"/>
          <w:sz w:val="28"/>
          <w:szCs w:val="28"/>
          <w:u w:val="none"/>
        </w:rPr>
        <w:t>电话:</w:t>
      </w:r>
      <w:r>
        <w:rPr>
          <w:rFonts w:hint="eastAsia" w:ascii="新宋体" w:hAnsi="新宋体" w:eastAsia="新宋体" w:cs="新宋体"/>
          <w:color w:val="auto"/>
          <w:sz w:val="28"/>
          <w:szCs w:val="28"/>
          <w:u w:val="none"/>
          <w:shd w:val="clear" w:fill="E7E6E6" w:themeFill="background2"/>
        </w:rPr>
        <w:t>0777-6428581</w:t>
      </w: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 发布公告媒体：中国政府采购网（http://www.ccgp.gov.cn）、广西壮族自治区政府采购网( http://www.gxzfcg.gov.cn) 、灵山县人民政府网站（http://www.gxls.gov.cn）</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kern w:val="0"/>
          <w:sz w:val="28"/>
          <w:szCs w:val="28"/>
        </w:rPr>
        <w:t>广西祥立工程咨询有限责任公司网(http://www.gxxiangli.cn)</w:t>
      </w:r>
    </w:p>
    <w:p>
      <w:pPr>
        <w:pageBreakBefore w:val="0"/>
        <w:widowControl w:val="0"/>
        <w:kinsoku/>
        <w:wordWrap/>
        <w:overflowPunct/>
        <w:topLinePunct w:val="0"/>
        <w:autoSpaceDE/>
        <w:autoSpaceDN/>
        <w:bidi w:val="0"/>
        <w:adjustRightInd/>
        <w:snapToGrid/>
        <w:spacing w:line="390" w:lineRule="exact"/>
        <w:ind w:left="5640" w:hanging="6580" w:hangingChars="2350"/>
        <w:textAlignment w:val="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w:t>
      </w:r>
    </w:p>
    <w:p>
      <w:pPr>
        <w:pageBreakBefore w:val="0"/>
        <w:widowControl w:val="0"/>
        <w:kinsoku/>
        <w:wordWrap/>
        <w:overflowPunct/>
        <w:topLinePunct w:val="0"/>
        <w:autoSpaceDE/>
        <w:autoSpaceDN/>
        <w:bidi w:val="0"/>
        <w:adjustRightInd/>
        <w:snapToGrid/>
        <w:spacing w:line="360" w:lineRule="auto"/>
        <w:ind w:left="6568" w:leftChars="2261" w:hanging="1820" w:hangingChars="650"/>
        <w:textAlignment w:val="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广西祥立工程咨询有限责任公司</w:t>
      </w:r>
    </w:p>
    <w:p>
      <w:pPr>
        <w:rPr>
          <w:rFonts w:hint="eastAsia" w:ascii="新宋体" w:hAnsi="新宋体" w:eastAsia="新宋体" w:cs="新宋体"/>
        </w:rPr>
      </w:pPr>
      <w:r>
        <w:rPr>
          <w:rFonts w:hint="eastAsia" w:ascii="新宋体" w:hAnsi="新宋体" w:eastAsia="新宋体" w:cs="新宋体"/>
          <w:color w:val="auto"/>
          <w:sz w:val="28"/>
          <w:szCs w:val="28"/>
        </w:rPr>
        <w:t xml:space="preserve">                                         201</w:t>
      </w:r>
      <w:r>
        <w:rPr>
          <w:rFonts w:hint="eastAsia" w:ascii="新宋体" w:hAnsi="新宋体" w:eastAsia="新宋体" w:cs="新宋体"/>
          <w:color w:val="auto"/>
          <w:sz w:val="28"/>
          <w:szCs w:val="28"/>
          <w:lang w:val="en-US" w:eastAsia="zh-CN"/>
        </w:rPr>
        <w:t>9</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lang w:val="en-US" w:eastAsia="zh-CN"/>
        </w:rPr>
        <w:t>12</w:t>
      </w:r>
      <w:r>
        <w:rPr>
          <w:rFonts w:hint="eastAsia" w:ascii="新宋体" w:hAnsi="新宋体" w:eastAsia="新宋体" w:cs="新宋体"/>
          <w:color w:val="auto"/>
          <w:sz w:val="28"/>
          <w:szCs w:val="28"/>
        </w:rPr>
        <w:t>月1</w:t>
      </w:r>
      <w:r>
        <w:rPr>
          <w:rFonts w:hint="eastAsia" w:ascii="新宋体" w:hAnsi="新宋体" w:eastAsia="新宋体" w:cs="新宋体"/>
          <w:color w:val="auto"/>
          <w:sz w:val="28"/>
          <w:szCs w:val="28"/>
          <w:lang w:val="en-US" w:eastAsia="zh-CN"/>
        </w:rPr>
        <w:t>6</w:t>
      </w:r>
      <w:r>
        <w:rPr>
          <w:rFonts w:hint="eastAsia" w:ascii="新宋体" w:hAnsi="新宋体" w:eastAsia="新宋体" w:cs="新宋体"/>
          <w:color w:val="auto"/>
          <w:sz w:val="28"/>
          <w:szCs w:val="28"/>
        </w:rPr>
        <w:t>日</w:t>
      </w:r>
      <w:r>
        <w:rPr>
          <w:rFonts w:hint="eastAsia" w:ascii="新宋体" w:hAnsi="新宋体" w:eastAsia="新宋体" w:cs="新宋体"/>
        </w:rPr>
        <w:br w:type="page"/>
      </w:r>
    </w:p>
    <w:p>
      <w:pPr>
        <w:pStyle w:val="3"/>
        <w:keepNext/>
        <w:keepLines/>
        <w:pageBreakBefore w:val="0"/>
        <w:widowControl w:val="0"/>
        <w:numPr>
          <w:ilvl w:val="0"/>
          <w:numId w:val="2"/>
        </w:numPr>
        <w:kinsoku/>
        <w:wordWrap/>
        <w:overflowPunct/>
        <w:topLinePunct w:val="0"/>
        <w:autoSpaceDE/>
        <w:autoSpaceDN/>
        <w:bidi w:val="0"/>
        <w:adjustRightInd/>
        <w:snapToGrid/>
        <w:spacing w:line="600" w:lineRule="exact"/>
        <w:jc w:val="center"/>
        <w:textAlignment w:val="auto"/>
        <w:rPr>
          <w:rFonts w:hint="eastAsia" w:ascii="新宋体" w:hAnsi="新宋体" w:eastAsia="新宋体" w:cs="新宋体"/>
        </w:rPr>
      </w:pPr>
      <w:bookmarkStart w:id="16" w:name="_Toc14475"/>
      <w:r>
        <w:rPr>
          <w:rFonts w:hint="eastAsia" w:ascii="新宋体" w:hAnsi="新宋体" w:eastAsia="新宋体" w:cs="新宋体"/>
        </w:rPr>
        <w:t>竞标人须知</w:t>
      </w:r>
      <w:bookmarkStart w:id="17" w:name="_Toc144974496"/>
      <w:bookmarkStart w:id="18" w:name="_Toc152042304"/>
      <w:bookmarkStart w:id="19" w:name="_Toc179632545"/>
      <w:bookmarkStart w:id="20" w:name="_Toc152045528"/>
      <w:r>
        <w:rPr>
          <w:rFonts w:hint="eastAsia" w:ascii="新宋体" w:hAnsi="新宋体" w:eastAsia="新宋体" w:cs="新宋体"/>
        </w:rPr>
        <w:t>前附表</w:t>
      </w:r>
      <w:bookmarkEnd w:id="16"/>
      <w:bookmarkEnd w:id="17"/>
      <w:bookmarkEnd w:id="18"/>
      <w:bookmarkEnd w:id="19"/>
      <w:bookmarkEnd w:id="20"/>
    </w:p>
    <w:tbl>
      <w:tblPr>
        <w:tblStyle w:val="22"/>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959"/>
        <w:gridCol w:w="8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vAlign w:val="center"/>
          </w:tcPr>
          <w:p>
            <w:pPr>
              <w:jc w:val="center"/>
              <w:rPr>
                <w:rFonts w:hint="eastAsia" w:ascii="新宋体" w:hAnsi="新宋体" w:eastAsia="新宋体" w:cs="新宋体"/>
                <w:sz w:val="21"/>
                <w:szCs w:val="21"/>
              </w:rPr>
            </w:pPr>
            <w:r>
              <w:rPr>
                <w:rFonts w:hint="eastAsia" w:ascii="新宋体" w:hAnsi="新宋体" w:eastAsia="新宋体" w:cs="新宋体"/>
                <w:sz w:val="21"/>
                <w:szCs w:val="21"/>
              </w:rPr>
              <w:t>项号</w:t>
            </w:r>
          </w:p>
        </w:tc>
        <w:tc>
          <w:tcPr>
            <w:tcW w:w="959" w:type="dxa"/>
            <w:vAlign w:val="center"/>
          </w:tcPr>
          <w:p>
            <w:pPr>
              <w:jc w:val="center"/>
              <w:rPr>
                <w:rFonts w:hint="eastAsia" w:ascii="新宋体" w:hAnsi="新宋体" w:eastAsia="新宋体" w:cs="新宋体"/>
                <w:sz w:val="21"/>
                <w:szCs w:val="21"/>
              </w:rPr>
            </w:pPr>
            <w:r>
              <w:rPr>
                <w:rFonts w:hint="eastAsia" w:ascii="新宋体" w:hAnsi="新宋体" w:eastAsia="新宋体" w:cs="新宋体"/>
                <w:sz w:val="21"/>
                <w:szCs w:val="21"/>
              </w:rPr>
              <w:t>条款号</w:t>
            </w:r>
          </w:p>
        </w:tc>
        <w:tc>
          <w:tcPr>
            <w:tcW w:w="8124" w:type="dxa"/>
            <w:vAlign w:val="center"/>
          </w:tcPr>
          <w:p>
            <w:pPr>
              <w:jc w:val="center"/>
              <w:rPr>
                <w:rFonts w:hint="eastAsia" w:ascii="新宋体" w:hAnsi="新宋体" w:eastAsia="新宋体" w:cs="新宋体"/>
                <w:sz w:val="21"/>
                <w:szCs w:val="21"/>
              </w:rPr>
            </w:pPr>
            <w:r>
              <w:rPr>
                <w:rFonts w:hint="eastAsia" w:ascii="新宋体" w:hAnsi="新宋体" w:eastAsia="新宋体" w:cs="新宋体"/>
                <w:sz w:val="21"/>
                <w:szCs w:val="21"/>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1</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1.1</w:t>
            </w:r>
          </w:p>
        </w:tc>
        <w:tc>
          <w:tcPr>
            <w:tcW w:w="8124" w:type="dxa"/>
            <w:vAlign w:val="center"/>
          </w:tcPr>
          <w:p>
            <w:pPr>
              <w:pStyle w:val="9"/>
              <w:spacing w:line="320" w:lineRule="exact"/>
              <w:ind w:firstLine="0"/>
              <w:rPr>
                <w:rFonts w:hint="eastAsia" w:ascii="新宋体" w:hAnsi="新宋体" w:eastAsia="新宋体" w:cs="新宋体"/>
                <w:sz w:val="21"/>
                <w:szCs w:val="21"/>
              </w:rPr>
            </w:pPr>
            <w:r>
              <w:rPr>
                <w:rFonts w:hint="eastAsia" w:ascii="新宋体" w:hAnsi="新宋体" w:eastAsia="新宋体" w:cs="新宋体"/>
                <w:sz w:val="21"/>
                <w:szCs w:val="21"/>
              </w:rPr>
              <w:t>项目名称：</w:t>
            </w:r>
            <w:r>
              <w:rPr>
                <w:rFonts w:hint="eastAsia" w:ascii="新宋体" w:hAnsi="新宋体" w:eastAsia="新宋体" w:cs="新宋体"/>
                <w:kern w:val="2"/>
                <w:sz w:val="21"/>
                <w:szCs w:val="21"/>
                <w:u w:val="single"/>
                <w:lang w:val="en-US" w:eastAsia="zh-CN" w:bidi="ar-SA"/>
              </w:rPr>
              <w:t>灵山县檀圩镇中心校特殊教育资源教室设备采购</w:t>
            </w:r>
          </w:p>
          <w:p>
            <w:pPr>
              <w:spacing w:line="312" w:lineRule="auto"/>
              <w:jc w:val="left"/>
              <w:rPr>
                <w:rFonts w:hint="eastAsia" w:ascii="新宋体" w:hAnsi="新宋体" w:eastAsia="新宋体" w:cs="新宋体"/>
                <w:sz w:val="21"/>
                <w:szCs w:val="21"/>
              </w:rPr>
            </w:pPr>
            <w:r>
              <w:rPr>
                <w:rFonts w:hint="eastAsia" w:ascii="新宋体" w:hAnsi="新宋体" w:eastAsia="新宋体" w:cs="新宋体"/>
                <w:sz w:val="21"/>
                <w:szCs w:val="21"/>
              </w:rPr>
              <w:t>项目编号</w:t>
            </w:r>
            <w:r>
              <w:rPr>
                <w:rFonts w:hint="eastAsia" w:ascii="新宋体" w:hAnsi="新宋体" w:eastAsia="新宋体" w:cs="新宋体"/>
                <w:sz w:val="21"/>
                <w:szCs w:val="21"/>
                <w:lang w:eastAsia="zh-CN"/>
              </w:rPr>
              <w:t>：</w:t>
            </w:r>
            <w:r>
              <w:rPr>
                <w:rFonts w:hint="eastAsia" w:ascii="新宋体" w:hAnsi="新宋体" w:eastAsia="新宋体" w:cs="新宋体"/>
                <w:sz w:val="21"/>
                <w:szCs w:val="21"/>
                <w:u w:val="single"/>
              </w:rPr>
              <w:t>QZZC2019-J1-2003-GXXL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2</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2.1</w:t>
            </w:r>
          </w:p>
        </w:tc>
        <w:tc>
          <w:tcPr>
            <w:tcW w:w="8124" w:type="dxa"/>
            <w:vAlign w:val="center"/>
          </w:tcPr>
          <w:p>
            <w:pPr>
              <w:spacing w:line="240" w:lineRule="exact"/>
              <w:rPr>
                <w:rFonts w:hint="eastAsia" w:ascii="新宋体" w:hAnsi="新宋体" w:eastAsia="新宋体" w:cs="新宋体"/>
                <w:kern w:val="0"/>
                <w:sz w:val="21"/>
                <w:szCs w:val="21"/>
              </w:rPr>
            </w:pPr>
            <w:r>
              <w:rPr>
                <w:rFonts w:hint="eastAsia" w:ascii="新宋体" w:hAnsi="新宋体" w:eastAsia="新宋体" w:cs="新宋体"/>
                <w:kern w:val="0"/>
                <w:sz w:val="21"/>
                <w:szCs w:val="21"/>
              </w:rPr>
              <w:t>竞标人资格：</w:t>
            </w:r>
          </w:p>
          <w:p>
            <w:pPr>
              <w:spacing w:line="240" w:lineRule="exact"/>
              <w:rPr>
                <w:rFonts w:hint="eastAsia" w:ascii="新宋体" w:hAnsi="新宋体" w:eastAsia="新宋体" w:cs="新宋体"/>
                <w:kern w:val="0"/>
                <w:sz w:val="21"/>
                <w:szCs w:val="21"/>
              </w:rPr>
            </w:pPr>
            <w:r>
              <w:rPr>
                <w:rFonts w:hint="eastAsia" w:ascii="新宋体" w:hAnsi="新宋体" w:eastAsia="新宋体" w:cs="新宋体"/>
                <w:kern w:val="0"/>
                <w:sz w:val="21"/>
                <w:szCs w:val="21"/>
              </w:rPr>
              <w:t>1、符合《中华人民共和国政府采购法》第二十二条规定，国内注册（指按国家有关规定要求注册的），生产或经营本次招标采购货物或服务的供应商。</w:t>
            </w:r>
          </w:p>
          <w:p>
            <w:pPr>
              <w:spacing w:line="240" w:lineRule="exact"/>
              <w:rPr>
                <w:rFonts w:hint="eastAsia" w:ascii="新宋体" w:hAnsi="新宋体" w:eastAsia="新宋体" w:cs="新宋体"/>
                <w:kern w:val="0"/>
                <w:sz w:val="21"/>
                <w:szCs w:val="21"/>
              </w:rPr>
            </w:pPr>
            <w:r>
              <w:rPr>
                <w:rFonts w:hint="eastAsia" w:ascii="新宋体" w:hAnsi="新宋体" w:eastAsia="新宋体" w:cs="新宋体"/>
                <w:kern w:val="0"/>
                <w:sz w:val="21"/>
                <w:szCs w:val="21"/>
              </w:rPr>
              <w:t>2、本项目不接受联合体投标。</w:t>
            </w:r>
          </w:p>
          <w:p>
            <w:pPr>
              <w:spacing w:line="240" w:lineRule="exact"/>
              <w:rPr>
                <w:rFonts w:hint="eastAsia" w:ascii="新宋体" w:hAnsi="新宋体" w:eastAsia="新宋体" w:cs="新宋体"/>
                <w:kern w:val="0"/>
                <w:sz w:val="21"/>
                <w:szCs w:val="21"/>
              </w:rPr>
            </w:pPr>
            <w:r>
              <w:rPr>
                <w:rFonts w:hint="eastAsia" w:ascii="新宋体" w:hAnsi="新宋体" w:eastAsia="新宋体" w:cs="新宋体"/>
                <w:kern w:val="0"/>
                <w:sz w:val="21"/>
                <w:szCs w:val="21"/>
              </w:rPr>
              <w:t>3、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p>
          <w:p>
            <w:pPr>
              <w:spacing w:line="240" w:lineRule="exact"/>
              <w:rPr>
                <w:rFonts w:hint="eastAsia" w:ascii="新宋体" w:hAnsi="新宋体" w:eastAsia="新宋体" w:cs="新宋体"/>
                <w:sz w:val="21"/>
                <w:szCs w:val="21"/>
              </w:rPr>
            </w:pPr>
            <w:r>
              <w:rPr>
                <w:rFonts w:hint="eastAsia" w:ascii="新宋体" w:hAnsi="新宋体" w:eastAsia="新宋体" w:cs="新宋体"/>
                <w:kern w:val="0"/>
                <w:sz w:val="21"/>
                <w:szCs w:val="21"/>
              </w:rPr>
              <w:t>4、购买本项目竞争性谈判采购文件的竞标人方可参与竞标。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3</w:t>
            </w:r>
          </w:p>
        </w:tc>
        <w:tc>
          <w:tcPr>
            <w:tcW w:w="959" w:type="dxa"/>
            <w:vAlign w:val="center"/>
          </w:tcPr>
          <w:p>
            <w:pPr>
              <w:pStyle w:val="2"/>
              <w:spacing w:line="400" w:lineRule="exact"/>
              <w:rPr>
                <w:rFonts w:hint="eastAsia" w:ascii="新宋体" w:hAnsi="新宋体" w:eastAsia="新宋体" w:cs="新宋体"/>
                <w:sz w:val="21"/>
                <w:szCs w:val="21"/>
              </w:rPr>
            </w:pPr>
            <w:r>
              <w:rPr>
                <w:rFonts w:hint="eastAsia" w:ascii="新宋体" w:hAnsi="新宋体" w:eastAsia="新宋体" w:cs="新宋体"/>
                <w:sz w:val="21"/>
                <w:szCs w:val="21"/>
              </w:rPr>
              <w:t>10.1</w:t>
            </w:r>
          </w:p>
        </w:tc>
        <w:tc>
          <w:tcPr>
            <w:tcW w:w="8124" w:type="dxa"/>
            <w:vAlign w:val="center"/>
          </w:tcPr>
          <w:p>
            <w:pPr>
              <w:spacing w:line="320" w:lineRule="exact"/>
              <w:ind w:left="1" w:hanging="1"/>
              <w:rPr>
                <w:rFonts w:hint="eastAsia" w:ascii="新宋体" w:hAnsi="新宋体" w:eastAsia="新宋体" w:cs="新宋体"/>
                <w:sz w:val="21"/>
                <w:szCs w:val="21"/>
              </w:rPr>
            </w:pPr>
            <w:r>
              <w:rPr>
                <w:rFonts w:hint="eastAsia" w:ascii="新宋体" w:hAnsi="新宋体" w:eastAsia="新宋体" w:cs="新宋体"/>
                <w:sz w:val="21"/>
                <w:szCs w:val="21"/>
              </w:rPr>
              <w:t>竞标报价：竞标人必须就《货物需求一览表》及谈判记录中的所有货物内容作完整唯一报价，否则，其竞标将被拒绝。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4</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14.1</w:t>
            </w:r>
          </w:p>
        </w:tc>
        <w:tc>
          <w:tcPr>
            <w:tcW w:w="8124" w:type="dxa"/>
            <w:vAlign w:val="center"/>
          </w:tcPr>
          <w:p>
            <w:pPr>
              <w:spacing w:line="320" w:lineRule="exact"/>
              <w:rPr>
                <w:rFonts w:hint="eastAsia" w:ascii="新宋体" w:hAnsi="新宋体" w:eastAsia="新宋体" w:cs="新宋体"/>
                <w:sz w:val="21"/>
                <w:szCs w:val="21"/>
              </w:rPr>
            </w:pPr>
            <w:r>
              <w:rPr>
                <w:rFonts w:hint="eastAsia" w:ascii="新宋体" w:hAnsi="新宋体" w:eastAsia="新宋体" w:cs="新宋体"/>
                <w:sz w:val="21"/>
                <w:szCs w:val="21"/>
              </w:rPr>
              <w:t>竞标有效期：竞标截止日期后60天。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5</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15.4</w:t>
            </w:r>
          </w:p>
        </w:tc>
        <w:tc>
          <w:tcPr>
            <w:tcW w:w="8124" w:type="dxa"/>
            <w:vAlign w:val="center"/>
          </w:tcPr>
          <w:p>
            <w:pPr>
              <w:spacing w:line="320" w:lineRule="exact"/>
              <w:rPr>
                <w:rFonts w:hint="eastAsia" w:ascii="新宋体" w:hAnsi="新宋体" w:eastAsia="新宋体" w:cs="新宋体"/>
                <w:sz w:val="21"/>
                <w:szCs w:val="21"/>
              </w:rPr>
            </w:pPr>
            <w:r>
              <w:rPr>
                <w:rFonts w:hint="eastAsia" w:ascii="新宋体" w:hAnsi="新宋体" w:eastAsia="新宋体" w:cs="新宋体"/>
                <w:sz w:val="21"/>
                <w:szCs w:val="21"/>
              </w:rPr>
              <w:t>竞标文件：正本一套、副本三套，共四套。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6</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16.1</w:t>
            </w:r>
          </w:p>
        </w:tc>
        <w:tc>
          <w:tcPr>
            <w:tcW w:w="8124" w:type="dxa"/>
            <w:vAlign w:val="center"/>
          </w:tcPr>
          <w:p>
            <w:pPr>
              <w:spacing w:line="320" w:lineRule="exact"/>
              <w:rPr>
                <w:rFonts w:hint="eastAsia" w:ascii="新宋体" w:hAnsi="新宋体" w:eastAsia="新宋体" w:cs="新宋体"/>
                <w:sz w:val="21"/>
                <w:szCs w:val="21"/>
              </w:rPr>
            </w:pPr>
            <w:r>
              <w:rPr>
                <w:rFonts w:hint="eastAsia" w:ascii="新宋体" w:hAnsi="新宋体" w:eastAsia="新宋体" w:cs="新宋体"/>
                <w:sz w:val="21"/>
                <w:szCs w:val="21"/>
                <w:shd w:val="clear" w:fill="E7E6E6" w:themeFill="background2"/>
              </w:rPr>
              <w:t>竞标保证金：</w:t>
            </w:r>
            <w:r>
              <w:rPr>
                <w:rFonts w:hint="eastAsia" w:ascii="新宋体" w:hAnsi="新宋体" w:eastAsia="新宋体" w:cs="新宋体"/>
                <w:b/>
                <w:bCs/>
                <w:sz w:val="21"/>
                <w:szCs w:val="21"/>
                <w:shd w:val="clear" w:fill="E7E6E6" w:themeFill="background2"/>
              </w:rPr>
              <w:t>以电汇、转帐、汇票、现金等形式缴纳，</w:t>
            </w:r>
            <w:r>
              <w:rPr>
                <w:rFonts w:hint="eastAsia" w:ascii="新宋体" w:hAnsi="新宋体" w:eastAsia="新宋体" w:cs="新宋体"/>
                <w:bCs/>
                <w:sz w:val="21"/>
                <w:szCs w:val="21"/>
                <w:shd w:val="clear" w:fill="E7E6E6" w:themeFill="background2"/>
              </w:rPr>
              <w:t>金额按</w:t>
            </w:r>
            <w:r>
              <w:rPr>
                <w:rFonts w:hint="eastAsia" w:ascii="新宋体" w:hAnsi="新宋体" w:eastAsia="新宋体" w:cs="新宋体"/>
                <w:color w:val="FF0000"/>
                <w:sz w:val="21"/>
                <w:szCs w:val="21"/>
                <w:u w:val="single"/>
                <w:shd w:val="clear" w:fill="E7E6E6" w:themeFill="background2"/>
                <w:lang w:val="en-US" w:eastAsia="zh-CN"/>
              </w:rPr>
              <w:t>50</w:t>
            </w:r>
            <w:r>
              <w:rPr>
                <w:rFonts w:hint="eastAsia" w:ascii="新宋体" w:hAnsi="新宋体" w:eastAsia="新宋体" w:cs="新宋体"/>
                <w:color w:val="FF0000"/>
                <w:sz w:val="21"/>
                <w:szCs w:val="21"/>
                <w:u w:val="single"/>
                <w:shd w:val="clear" w:fill="E7E6E6" w:themeFill="background2"/>
              </w:rPr>
              <w:t>00.00</w:t>
            </w:r>
            <w:r>
              <w:rPr>
                <w:rFonts w:hint="eastAsia" w:ascii="新宋体" w:hAnsi="新宋体" w:eastAsia="新宋体" w:cs="新宋体"/>
                <w:bCs/>
                <w:sz w:val="21"/>
                <w:szCs w:val="21"/>
                <w:shd w:val="clear" w:fill="E7E6E6" w:themeFill="background2"/>
              </w:rPr>
              <w:t>提交</w:t>
            </w:r>
            <w:r>
              <w:rPr>
                <w:rFonts w:hint="eastAsia" w:ascii="新宋体" w:hAnsi="新宋体" w:eastAsia="新宋体" w:cs="新宋体"/>
                <w:sz w:val="21"/>
                <w:szCs w:val="21"/>
                <w:shd w:val="clear" w:fill="E7E6E6" w:themeFill="background2"/>
              </w:rPr>
              <w:t>。且提交到指定账户时间不得迟于竞标截止前一个工作日。</w:t>
            </w:r>
            <w:r>
              <w:rPr>
                <w:rFonts w:hint="eastAsia" w:ascii="新宋体" w:hAnsi="新宋体" w:eastAsia="新宋体" w:cs="新宋体"/>
                <w:b/>
                <w:sz w:val="21"/>
                <w:szCs w:val="21"/>
                <w:shd w:val="clear" w:fill="E7E6E6" w:themeFill="background2"/>
              </w:rPr>
              <w:t>投标保证金收据（以收款单位开具的收据为准）及银行转账凭证复印件须放进竞标文件。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7</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17</w:t>
            </w:r>
          </w:p>
          <w:p>
            <w:pPr>
              <w:pStyle w:val="11"/>
              <w:jc w:val="center"/>
              <w:rPr>
                <w:rFonts w:hint="eastAsia" w:ascii="新宋体" w:hAnsi="新宋体" w:eastAsia="新宋体" w:cs="新宋体"/>
                <w:kern w:val="0"/>
                <w:sz w:val="21"/>
                <w:szCs w:val="21"/>
              </w:rPr>
            </w:pPr>
            <w:r>
              <w:rPr>
                <w:rFonts w:hint="eastAsia" w:ascii="新宋体" w:hAnsi="新宋体" w:eastAsia="新宋体" w:cs="新宋体"/>
                <w:kern w:val="0"/>
                <w:sz w:val="21"/>
                <w:szCs w:val="21"/>
              </w:rPr>
              <w:t>18</w:t>
            </w:r>
          </w:p>
        </w:tc>
        <w:tc>
          <w:tcPr>
            <w:tcW w:w="8124" w:type="dxa"/>
            <w:vAlign w:val="center"/>
          </w:tcPr>
          <w:p>
            <w:pPr>
              <w:spacing w:line="320" w:lineRule="exact"/>
              <w:rPr>
                <w:rFonts w:hint="eastAsia" w:ascii="新宋体" w:hAnsi="新宋体" w:eastAsia="新宋体" w:cs="新宋体"/>
                <w:color w:val="FF0000"/>
                <w:sz w:val="21"/>
                <w:szCs w:val="21"/>
              </w:rPr>
            </w:pPr>
            <w:r>
              <w:rPr>
                <w:rFonts w:hint="eastAsia" w:ascii="新宋体" w:hAnsi="新宋体" w:eastAsia="新宋体" w:cs="新宋体"/>
                <w:color w:val="000000" w:themeColor="text1"/>
                <w:sz w:val="21"/>
                <w:szCs w:val="21"/>
              </w:rPr>
              <w:t>竞标文件以密封形式递交至：</w:t>
            </w:r>
            <w:r>
              <w:rPr>
                <w:rFonts w:hint="eastAsia" w:ascii="新宋体" w:hAnsi="新宋体" w:eastAsia="新宋体" w:cs="新宋体"/>
                <w:i w:val="0"/>
                <w:caps w:val="0"/>
                <w:color w:val="auto"/>
                <w:spacing w:val="0"/>
                <w:sz w:val="21"/>
                <w:szCs w:val="21"/>
                <w:u w:val="single"/>
              </w:rPr>
              <w:t>广西祥立工程咨询有限责任公司钦州第一分公司灵山办事处（灵山县江南路国际汽车城6号楼2楼）</w:t>
            </w:r>
          </w:p>
          <w:p>
            <w:pPr>
              <w:shd w:val="clear" w:fill="E7E6E6" w:themeFill="background2"/>
              <w:spacing w:line="320" w:lineRule="exact"/>
              <w:rPr>
                <w:rFonts w:hint="eastAsia" w:ascii="新宋体" w:hAnsi="新宋体" w:eastAsia="新宋体" w:cs="新宋体"/>
                <w:color w:val="FF0000"/>
                <w:sz w:val="21"/>
                <w:szCs w:val="21"/>
              </w:rPr>
            </w:pPr>
            <w:r>
              <w:rPr>
                <w:rFonts w:hint="eastAsia" w:ascii="新宋体" w:hAnsi="新宋体" w:eastAsia="新宋体" w:cs="新宋体"/>
                <w:color w:val="000000" w:themeColor="text1"/>
                <w:sz w:val="21"/>
                <w:szCs w:val="21"/>
              </w:rPr>
              <w:t>联系电话</w:t>
            </w:r>
            <w:r>
              <w:rPr>
                <w:rFonts w:hint="eastAsia" w:ascii="新宋体" w:hAnsi="新宋体" w:eastAsia="新宋体" w:cs="新宋体"/>
                <w:color w:val="FF0000"/>
                <w:sz w:val="21"/>
                <w:szCs w:val="21"/>
              </w:rPr>
              <w:t>：</w:t>
            </w:r>
            <w:r>
              <w:rPr>
                <w:rFonts w:hint="eastAsia" w:ascii="新宋体" w:hAnsi="新宋体" w:eastAsia="新宋体" w:cs="新宋体"/>
                <w:sz w:val="21"/>
                <w:szCs w:val="21"/>
              </w:rPr>
              <w:t xml:space="preserve">0771-4897005 </w:t>
            </w:r>
          </w:p>
          <w:p>
            <w:pPr>
              <w:shd w:val="clear" w:fill="E7E6E6" w:themeFill="background2"/>
              <w:spacing w:line="320" w:lineRule="exact"/>
              <w:rPr>
                <w:rFonts w:hint="eastAsia" w:ascii="新宋体" w:hAnsi="新宋体" w:eastAsia="新宋体" w:cs="新宋体"/>
                <w:color w:val="FF0000"/>
                <w:sz w:val="21"/>
                <w:szCs w:val="21"/>
              </w:rPr>
            </w:pPr>
            <w:r>
              <w:rPr>
                <w:rFonts w:hint="eastAsia" w:ascii="新宋体" w:hAnsi="新宋体" w:eastAsia="新宋体" w:cs="新宋体"/>
                <w:color w:val="FF0000"/>
                <w:sz w:val="21"/>
                <w:szCs w:val="21"/>
              </w:rPr>
              <w:t>竞标文件递交截止时间：201</w:t>
            </w:r>
            <w:r>
              <w:rPr>
                <w:rFonts w:hint="eastAsia" w:ascii="新宋体" w:hAnsi="新宋体" w:eastAsia="新宋体" w:cs="新宋体"/>
                <w:color w:val="FF0000"/>
                <w:sz w:val="21"/>
                <w:szCs w:val="21"/>
                <w:lang w:val="en-US" w:eastAsia="zh-CN"/>
              </w:rPr>
              <w:t>9</w:t>
            </w:r>
            <w:r>
              <w:rPr>
                <w:rFonts w:hint="eastAsia" w:ascii="新宋体" w:hAnsi="新宋体" w:eastAsia="新宋体" w:cs="新宋体"/>
                <w:color w:val="FF0000"/>
                <w:sz w:val="21"/>
                <w:szCs w:val="21"/>
              </w:rPr>
              <w:t>年</w:t>
            </w:r>
            <w:r>
              <w:rPr>
                <w:rFonts w:hint="eastAsia" w:ascii="新宋体" w:hAnsi="新宋体" w:eastAsia="新宋体" w:cs="新宋体"/>
                <w:color w:val="FF0000"/>
                <w:sz w:val="21"/>
                <w:szCs w:val="21"/>
                <w:lang w:val="en-US" w:eastAsia="zh-CN"/>
              </w:rPr>
              <w:t>12</w:t>
            </w:r>
            <w:r>
              <w:rPr>
                <w:rFonts w:hint="eastAsia" w:ascii="新宋体" w:hAnsi="新宋体" w:eastAsia="新宋体" w:cs="新宋体"/>
                <w:color w:val="FF0000"/>
                <w:sz w:val="21"/>
                <w:szCs w:val="21"/>
              </w:rPr>
              <w:t>月2</w:t>
            </w:r>
            <w:r>
              <w:rPr>
                <w:rFonts w:hint="eastAsia" w:ascii="新宋体" w:hAnsi="新宋体" w:eastAsia="新宋体" w:cs="新宋体"/>
                <w:color w:val="FF0000"/>
                <w:sz w:val="21"/>
                <w:szCs w:val="21"/>
                <w:lang w:val="en-US" w:eastAsia="zh-CN"/>
              </w:rPr>
              <w:t>0</w:t>
            </w:r>
            <w:r>
              <w:rPr>
                <w:rFonts w:hint="eastAsia" w:ascii="新宋体" w:hAnsi="新宋体" w:eastAsia="新宋体" w:cs="新宋体"/>
                <w:color w:val="FF0000"/>
                <w:sz w:val="21"/>
                <w:szCs w:val="21"/>
              </w:rPr>
              <w:t>日</w:t>
            </w:r>
            <w:r>
              <w:rPr>
                <w:rFonts w:hint="eastAsia" w:ascii="新宋体" w:hAnsi="新宋体" w:eastAsia="新宋体" w:cs="新宋体"/>
                <w:color w:val="FF0000"/>
                <w:sz w:val="21"/>
                <w:szCs w:val="21"/>
                <w:lang w:val="en-US" w:eastAsia="zh-CN"/>
              </w:rPr>
              <w:t>14</w:t>
            </w:r>
            <w:r>
              <w:rPr>
                <w:rFonts w:hint="eastAsia" w:ascii="新宋体" w:hAnsi="新宋体" w:eastAsia="新宋体" w:cs="新宋体"/>
                <w:color w:val="FF0000"/>
                <w:sz w:val="21"/>
                <w:szCs w:val="21"/>
              </w:rPr>
              <w:t>时</w:t>
            </w:r>
            <w:r>
              <w:rPr>
                <w:rFonts w:hint="eastAsia" w:ascii="新宋体" w:hAnsi="新宋体" w:eastAsia="新宋体" w:cs="新宋体"/>
                <w:color w:val="FF0000"/>
                <w:sz w:val="21"/>
                <w:szCs w:val="21"/>
                <w:lang w:val="en-US" w:eastAsia="zh-CN"/>
              </w:rPr>
              <w:t>3</w:t>
            </w:r>
            <w:r>
              <w:rPr>
                <w:rFonts w:hint="eastAsia" w:ascii="新宋体" w:hAnsi="新宋体" w:eastAsia="新宋体" w:cs="新宋体"/>
                <w:color w:val="FF0000"/>
                <w:sz w:val="21"/>
                <w:szCs w:val="21"/>
              </w:rPr>
              <w:t>0分正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8</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19.1</w:t>
            </w:r>
          </w:p>
        </w:tc>
        <w:tc>
          <w:tcPr>
            <w:tcW w:w="8124" w:type="dxa"/>
            <w:vAlign w:val="center"/>
          </w:tcPr>
          <w:p>
            <w:pPr>
              <w:shd w:val="clear" w:fill="E7E6E6" w:themeFill="background2"/>
              <w:spacing w:line="320" w:lineRule="exact"/>
              <w:rPr>
                <w:rFonts w:hint="eastAsia" w:ascii="新宋体" w:hAnsi="新宋体" w:eastAsia="新宋体" w:cs="新宋体"/>
                <w:color w:val="FF0000"/>
                <w:sz w:val="21"/>
                <w:szCs w:val="21"/>
              </w:rPr>
            </w:pPr>
            <w:r>
              <w:rPr>
                <w:rFonts w:hint="eastAsia" w:ascii="新宋体" w:hAnsi="新宋体" w:eastAsia="新宋体" w:cs="新宋体"/>
                <w:color w:val="FF0000"/>
                <w:sz w:val="21"/>
                <w:szCs w:val="21"/>
              </w:rPr>
              <w:t>竞争性谈判时间：201</w:t>
            </w:r>
            <w:r>
              <w:rPr>
                <w:rFonts w:hint="eastAsia" w:ascii="新宋体" w:hAnsi="新宋体" w:eastAsia="新宋体" w:cs="新宋体"/>
                <w:color w:val="FF0000"/>
                <w:sz w:val="21"/>
                <w:szCs w:val="21"/>
                <w:lang w:val="en-US" w:eastAsia="zh-CN"/>
              </w:rPr>
              <w:t>9</w:t>
            </w:r>
            <w:r>
              <w:rPr>
                <w:rFonts w:hint="eastAsia" w:ascii="新宋体" w:hAnsi="新宋体" w:eastAsia="新宋体" w:cs="新宋体"/>
                <w:color w:val="FF0000"/>
                <w:sz w:val="21"/>
                <w:szCs w:val="21"/>
              </w:rPr>
              <w:t>年</w:t>
            </w:r>
            <w:r>
              <w:rPr>
                <w:rFonts w:hint="eastAsia" w:ascii="新宋体" w:hAnsi="新宋体" w:eastAsia="新宋体" w:cs="新宋体"/>
                <w:color w:val="FF0000"/>
                <w:sz w:val="21"/>
                <w:szCs w:val="21"/>
                <w:lang w:val="en-US" w:eastAsia="zh-CN"/>
              </w:rPr>
              <w:t>12</w:t>
            </w:r>
            <w:r>
              <w:rPr>
                <w:rFonts w:hint="eastAsia" w:ascii="新宋体" w:hAnsi="新宋体" w:eastAsia="新宋体" w:cs="新宋体"/>
                <w:color w:val="FF0000"/>
                <w:sz w:val="21"/>
                <w:szCs w:val="21"/>
              </w:rPr>
              <w:t>月2</w:t>
            </w:r>
            <w:r>
              <w:rPr>
                <w:rFonts w:hint="eastAsia" w:ascii="新宋体" w:hAnsi="新宋体" w:eastAsia="新宋体" w:cs="新宋体"/>
                <w:color w:val="FF0000"/>
                <w:sz w:val="21"/>
                <w:szCs w:val="21"/>
                <w:lang w:val="en-US" w:eastAsia="zh-CN"/>
              </w:rPr>
              <w:t>0</w:t>
            </w:r>
            <w:r>
              <w:rPr>
                <w:rFonts w:hint="eastAsia" w:ascii="新宋体" w:hAnsi="新宋体" w:eastAsia="新宋体" w:cs="新宋体"/>
                <w:color w:val="FF0000"/>
                <w:sz w:val="21"/>
                <w:szCs w:val="21"/>
              </w:rPr>
              <w:t>日</w:t>
            </w:r>
            <w:r>
              <w:rPr>
                <w:rFonts w:hint="eastAsia" w:ascii="新宋体" w:hAnsi="新宋体" w:eastAsia="新宋体" w:cs="新宋体"/>
                <w:color w:val="FF0000"/>
                <w:sz w:val="21"/>
                <w:szCs w:val="21"/>
                <w:lang w:val="en-US" w:eastAsia="zh-CN"/>
              </w:rPr>
              <w:t>14</w:t>
            </w:r>
            <w:r>
              <w:rPr>
                <w:rFonts w:hint="eastAsia" w:ascii="新宋体" w:hAnsi="新宋体" w:eastAsia="新宋体" w:cs="新宋体"/>
                <w:color w:val="FF0000"/>
                <w:sz w:val="21"/>
                <w:szCs w:val="21"/>
              </w:rPr>
              <w:t>时</w:t>
            </w:r>
            <w:r>
              <w:rPr>
                <w:rFonts w:hint="eastAsia" w:ascii="新宋体" w:hAnsi="新宋体" w:eastAsia="新宋体" w:cs="新宋体"/>
                <w:color w:val="FF0000"/>
                <w:sz w:val="21"/>
                <w:szCs w:val="21"/>
                <w:lang w:val="en-US" w:eastAsia="zh-CN"/>
              </w:rPr>
              <w:t>3</w:t>
            </w:r>
            <w:r>
              <w:rPr>
                <w:rFonts w:hint="eastAsia" w:ascii="新宋体" w:hAnsi="新宋体" w:eastAsia="新宋体" w:cs="新宋体"/>
                <w:color w:val="FF0000"/>
                <w:sz w:val="21"/>
                <w:szCs w:val="21"/>
              </w:rPr>
              <w:t>0分截标后</w:t>
            </w:r>
          </w:p>
          <w:p>
            <w:pPr>
              <w:spacing w:line="320" w:lineRule="exact"/>
              <w:rPr>
                <w:rFonts w:hint="eastAsia" w:ascii="新宋体" w:hAnsi="新宋体" w:eastAsia="新宋体" w:cs="新宋体"/>
                <w:color w:val="FF0000"/>
                <w:sz w:val="21"/>
                <w:szCs w:val="21"/>
              </w:rPr>
            </w:pPr>
            <w:r>
              <w:rPr>
                <w:rFonts w:hint="eastAsia" w:ascii="新宋体" w:hAnsi="新宋体" w:eastAsia="新宋体" w:cs="新宋体"/>
                <w:sz w:val="21"/>
                <w:szCs w:val="21"/>
              </w:rPr>
              <w:t>谈判地点：</w:t>
            </w:r>
            <w:r>
              <w:rPr>
                <w:rFonts w:hint="eastAsia" w:ascii="新宋体" w:hAnsi="新宋体" w:eastAsia="新宋体" w:cs="新宋体"/>
                <w:i w:val="0"/>
                <w:caps w:val="0"/>
                <w:color w:val="auto"/>
                <w:spacing w:val="0"/>
                <w:sz w:val="21"/>
                <w:szCs w:val="21"/>
                <w:u w:val="single"/>
              </w:rPr>
              <w:t>广西祥立工程咨询有限责任公司钦州第一分公司灵山办事处（灵山县江南路国际汽车城6号楼2楼）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9</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20.2</w:t>
            </w:r>
          </w:p>
        </w:tc>
        <w:tc>
          <w:tcPr>
            <w:tcW w:w="8124" w:type="dxa"/>
            <w:vAlign w:val="center"/>
          </w:tcPr>
          <w:p>
            <w:pPr>
              <w:spacing w:line="320" w:lineRule="exact"/>
              <w:rPr>
                <w:rFonts w:hint="eastAsia" w:ascii="新宋体" w:hAnsi="新宋体" w:eastAsia="新宋体" w:cs="新宋体"/>
                <w:sz w:val="21"/>
                <w:szCs w:val="21"/>
              </w:rPr>
            </w:pPr>
            <w:r>
              <w:rPr>
                <w:rFonts w:hint="eastAsia" w:ascii="新宋体" w:hAnsi="新宋体" w:eastAsia="新宋体" w:cs="新宋体"/>
                <w:sz w:val="21"/>
                <w:szCs w:val="21"/>
              </w:rPr>
              <w:t>评标方法：</w:t>
            </w:r>
            <w:r>
              <w:rPr>
                <w:rFonts w:hint="eastAsia" w:ascii="新宋体" w:hAnsi="新宋体" w:eastAsia="新宋体" w:cs="新宋体"/>
                <w:b/>
                <w:sz w:val="21"/>
                <w:szCs w:val="21"/>
              </w:rPr>
              <w:t>合理低价中标法</w:t>
            </w:r>
            <w:r>
              <w:rPr>
                <w:rFonts w:hint="eastAsia" w:ascii="新宋体" w:hAnsi="新宋体" w:eastAsia="新宋体" w:cs="新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26" w:type="dxa"/>
            <w:vAlign w:val="center"/>
          </w:tcPr>
          <w:p>
            <w:pPr>
              <w:pStyle w:val="12"/>
              <w:spacing w:line="400" w:lineRule="exact"/>
              <w:ind w:firstLine="210" w:firstLineChars="100"/>
              <w:rPr>
                <w:rFonts w:hint="eastAsia" w:ascii="新宋体" w:hAnsi="新宋体" w:eastAsia="新宋体" w:cs="新宋体"/>
                <w:sz w:val="21"/>
                <w:szCs w:val="21"/>
              </w:rPr>
            </w:pPr>
            <w:r>
              <w:rPr>
                <w:rFonts w:hint="eastAsia" w:ascii="新宋体" w:hAnsi="新宋体" w:eastAsia="新宋体" w:cs="新宋体"/>
                <w:sz w:val="21"/>
                <w:szCs w:val="21"/>
              </w:rPr>
              <w:t>10</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27.1</w:t>
            </w:r>
          </w:p>
        </w:tc>
        <w:tc>
          <w:tcPr>
            <w:tcW w:w="8124" w:type="dxa"/>
            <w:vAlign w:val="center"/>
          </w:tcPr>
          <w:p>
            <w:pPr>
              <w:spacing w:line="320" w:lineRule="exact"/>
              <w:rPr>
                <w:rFonts w:hint="eastAsia" w:ascii="新宋体" w:hAnsi="新宋体" w:eastAsia="新宋体" w:cs="新宋体"/>
                <w:sz w:val="21"/>
                <w:szCs w:val="21"/>
              </w:rPr>
            </w:pPr>
            <w:r>
              <w:rPr>
                <w:rFonts w:hint="eastAsia" w:ascii="新宋体" w:hAnsi="新宋体" w:eastAsia="新宋体" w:cs="新宋体"/>
                <w:sz w:val="21"/>
                <w:szCs w:val="21"/>
              </w:rPr>
              <w:t>履约保证金：无。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26" w:type="dxa"/>
            <w:vAlign w:val="center"/>
          </w:tcPr>
          <w:p>
            <w:pPr>
              <w:pStyle w:val="12"/>
              <w:spacing w:line="400" w:lineRule="exact"/>
              <w:ind w:firstLine="0" w:firstLineChars="0"/>
              <w:jc w:val="center"/>
              <w:rPr>
                <w:rFonts w:hint="eastAsia" w:ascii="新宋体" w:hAnsi="新宋体" w:eastAsia="新宋体" w:cs="新宋体"/>
                <w:sz w:val="21"/>
                <w:szCs w:val="21"/>
              </w:rPr>
            </w:pPr>
            <w:r>
              <w:rPr>
                <w:rFonts w:hint="eastAsia" w:ascii="新宋体" w:hAnsi="新宋体" w:eastAsia="新宋体" w:cs="新宋体"/>
                <w:sz w:val="21"/>
                <w:szCs w:val="21"/>
              </w:rPr>
              <w:t>11</w:t>
            </w:r>
          </w:p>
        </w:tc>
        <w:tc>
          <w:tcPr>
            <w:tcW w:w="959" w:type="dxa"/>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28.1</w:t>
            </w:r>
          </w:p>
        </w:tc>
        <w:tc>
          <w:tcPr>
            <w:tcW w:w="8124" w:type="dxa"/>
            <w:vAlign w:val="center"/>
          </w:tcPr>
          <w:p>
            <w:pPr>
              <w:spacing w:line="440" w:lineRule="exact"/>
              <w:rPr>
                <w:rFonts w:hint="eastAsia" w:ascii="新宋体" w:hAnsi="新宋体" w:eastAsia="新宋体" w:cs="新宋体"/>
                <w:kern w:val="0"/>
                <w:sz w:val="21"/>
                <w:szCs w:val="21"/>
              </w:rPr>
            </w:pPr>
            <w:r>
              <w:rPr>
                <w:rFonts w:hint="eastAsia" w:ascii="新宋体" w:hAnsi="新宋体" w:eastAsia="新宋体" w:cs="新宋体"/>
                <w:sz w:val="21"/>
                <w:szCs w:val="21"/>
              </w:rPr>
              <w:t>成交服务费：</w:t>
            </w:r>
            <w:r>
              <w:rPr>
                <w:rFonts w:hint="eastAsia" w:ascii="新宋体" w:hAnsi="新宋体" w:eastAsia="新宋体" w:cs="新宋体"/>
                <w:sz w:val="21"/>
                <w:szCs w:val="21"/>
              </w:rPr>
              <w:t>招标代理全部费用由甲方根据</w:t>
            </w:r>
            <w:r>
              <w:rPr>
                <w:rFonts w:hint="eastAsia" w:ascii="新宋体" w:hAnsi="新宋体" w:eastAsia="新宋体" w:cs="新宋体"/>
                <w:sz w:val="21"/>
                <w:szCs w:val="21"/>
                <w:shd w:val="clear" w:fill="E7E6E6" w:themeFill="background2"/>
              </w:rPr>
              <w:t>（灵财采［2017］1号）</w:t>
            </w:r>
            <w:r>
              <w:rPr>
                <w:rFonts w:hint="eastAsia" w:ascii="新宋体" w:hAnsi="新宋体" w:eastAsia="新宋体" w:cs="新宋体"/>
                <w:sz w:val="21"/>
                <w:szCs w:val="21"/>
              </w:rPr>
              <w:t>文件精神，向财政部门申请拨给。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1685" w:type="dxa"/>
            <w:gridSpan w:val="2"/>
            <w:vAlign w:val="center"/>
          </w:tcPr>
          <w:p>
            <w:pPr>
              <w:spacing w:line="400" w:lineRule="exact"/>
              <w:jc w:val="center"/>
              <w:rPr>
                <w:rFonts w:hint="eastAsia" w:ascii="新宋体" w:hAnsi="新宋体" w:eastAsia="新宋体" w:cs="新宋体"/>
                <w:sz w:val="21"/>
                <w:szCs w:val="21"/>
              </w:rPr>
            </w:pPr>
            <w:r>
              <w:rPr>
                <w:rFonts w:hint="eastAsia" w:ascii="新宋体" w:hAnsi="新宋体" w:eastAsia="新宋体" w:cs="新宋体"/>
                <w:sz w:val="21"/>
                <w:szCs w:val="21"/>
              </w:rPr>
              <w:t>解释</w:t>
            </w:r>
          </w:p>
        </w:tc>
        <w:tc>
          <w:tcPr>
            <w:tcW w:w="8124" w:type="dxa"/>
            <w:vAlign w:val="center"/>
          </w:tcPr>
          <w:p>
            <w:pPr>
              <w:spacing w:line="312" w:lineRule="auto"/>
              <w:rPr>
                <w:rFonts w:hint="eastAsia" w:ascii="新宋体" w:hAnsi="新宋体" w:eastAsia="新宋体" w:cs="新宋体"/>
                <w:sz w:val="21"/>
                <w:szCs w:val="21"/>
              </w:rPr>
            </w:pPr>
            <w:r>
              <w:rPr>
                <w:rFonts w:hint="eastAsia" w:ascii="新宋体" w:hAnsi="新宋体" w:eastAsia="新宋体" w:cs="新宋体"/>
                <w:sz w:val="21"/>
                <w:szCs w:val="21"/>
              </w:rPr>
              <w:t>1、本谈判采购文件的解释权属于广西祥立工程咨询有限责任公司。</w:t>
            </w:r>
          </w:p>
          <w:p>
            <w:pPr>
              <w:spacing w:line="312" w:lineRule="auto"/>
              <w:rPr>
                <w:rFonts w:hint="eastAsia" w:ascii="新宋体" w:hAnsi="新宋体" w:eastAsia="新宋体" w:cs="新宋体"/>
                <w:sz w:val="21"/>
                <w:szCs w:val="21"/>
              </w:rPr>
            </w:pPr>
            <w:r>
              <w:rPr>
                <w:rFonts w:hint="eastAsia" w:ascii="新宋体" w:hAnsi="新宋体" w:eastAsia="新宋体" w:cs="新宋体"/>
                <w:sz w:val="21"/>
                <w:szCs w:val="21"/>
              </w:rPr>
              <w:t>2、本谈判采购文件中描述竞标人的“公章”是指根据我国对公章的管理规定，用竞标人法定主体行为名称制作的印章，除本谈判采购文件有特殊规定外，竞标人的财务章、部门章、分公司章、工会章、合同章、投标专用章、业务专用章等其它形式印章均不能代替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9809" w:type="dxa"/>
            <w:gridSpan w:val="3"/>
            <w:vAlign w:val="center"/>
          </w:tcPr>
          <w:p>
            <w:pPr>
              <w:adjustRightInd w:val="0"/>
              <w:spacing w:line="340" w:lineRule="exact"/>
              <w:textAlignment w:val="baseline"/>
              <w:rPr>
                <w:rFonts w:hint="eastAsia" w:ascii="新宋体" w:hAnsi="新宋体" w:eastAsia="新宋体" w:cs="新宋体"/>
                <w:spacing w:val="2"/>
                <w:sz w:val="21"/>
                <w:szCs w:val="21"/>
              </w:rPr>
            </w:pPr>
            <w:r>
              <w:rPr>
                <w:rFonts w:hint="eastAsia" w:ascii="新宋体" w:hAnsi="新宋体" w:eastAsia="新宋体" w:cs="新宋体"/>
                <w:b/>
                <w:spacing w:val="2"/>
                <w:sz w:val="21"/>
                <w:szCs w:val="21"/>
              </w:rPr>
              <w:t>开标会议注意事项</w:t>
            </w:r>
            <w:r>
              <w:rPr>
                <w:rFonts w:hint="eastAsia" w:ascii="新宋体" w:hAnsi="新宋体" w:eastAsia="新宋体" w:cs="新宋体"/>
                <w:spacing w:val="2"/>
                <w:sz w:val="21"/>
                <w:szCs w:val="21"/>
              </w:rPr>
              <w:t>：</w:t>
            </w:r>
          </w:p>
          <w:p>
            <w:pPr>
              <w:adjustRightInd w:val="0"/>
              <w:spacing w:line="340" w:lineRule="exact"/>
              <w:textAlignment w:val="baseline"/>
              <w:rPr>
                <w:rFonts w:hint="eastAsia" w:ascii="新宋体" w:hAnsi="新宋体" w:eastAsia="新宋体" w:cs="新宋体"/>
                <w:b/>
                <w:bCs/>
                <w:spacing w:val="2"/>
                <w:sz w:val="21"/>
                <w:szCs w:val="21"/>
              </w:rPr>
            </w:pPr>
            <w:r>
              <w:rPr>
                <w:rFonts w:hint="eastAsia" w:ascii="新宋体" w:hAnsi="新宋体" w:eastAsia="新宋体" w:cs="新宋体"/>
                <w:b/>
                <w:bCs/>
                <w:spacing w:val="2"/>
                <w:sz w:val="21"/>
                <w:szCs w:val="21"/>
              </w:rPr>
              <w:t xml:space="preserve">   1、 法定代表人前来的须携带法人代表身份证；</w:t>
            </w:r>
          </w:p>
          <w:p>
            <w:pPr>
              <w:adjustRightInd w:val="0"/>
              <w:spacing w:line="340" w:lineRule="exact"/>
              <w:textAlignment w:val="baseline"/>
              <w:rPr>
                <w:rFonts w:hint="eastAsia" w:ascii="新宋体" w:hAnsi="新宋体" w:eastAsia="新宋体" w:cs="新宋体"/>
                <w:b/>
                <w:bCs/>
                <w:spacing w:val="2"/>
                <w:sz w:val="21"/>
                <w:szCs w:val="21"/>
              </w:rPr>
            </w:pPr>
            <w:r>
              <w:rPr>
                <w:rFonts w:hint="eastAsia" w:ascii="新宋体" w:hAnsi="新宋体" w:eastAsia="新宋体" w:cs="新宋体"/>
                <w:b/>
                <w:bCs/>
                <w:spacing w:val="2"/>
                <w:sz w:val="21"/>
                <w:szCs w:val="21"/>
              </w:rPr>
              <w:t xml:space="preserve">   2、 委托代理人前来的须携带授权委托书和代理人身份证；</w:t>
            </w:r>
          </w:p>
          <w:p>
            <w:pPr>
              <w:adjustRightInd w:val="0"/>
              <w:spacing w:line="340" w:lineRule="exact"/>
              <w:ind w:firstLine="644" w:firstLineChars="300"/>
              <w:textAlignment w:val="baseline"/>
              <w:rPr>
                <w:rFonts w:hint="eastAsia" w:ascii="新宋体" w:hAnsi="新宋体" w:eastAsia="新宋体" w:cs="新宋体"/>
                <w:sz w:val="21"/>
                <w:szCs w:val="21"/>
              </w:rPr>
            </w:pPr>
            <w:r>
              <w:rPr>
                <w:rFonts w:hint="eastAsia" w:ascii="新宋体" w:hAnsi="新宋体" w:eastAsia="新宋体" w:cs="新宋体"/>
                <w:b/>
                <w:bCs/>
                <w:spacing w:val="2"/>
                <w:sz w:val="21"/>
                <w:szCs w:val="21"/>
              </w:rPr>
              <w:t>上述人员还须携带竞标保证金交纳收据原件。</w:t>
            </w:r>
          </w:p>
        </w:tc>
      </w:tr>
    </w:tbl>
    <w:p>
      <w:pPr>
        <w:pStyle w:val="11"/>
        <w:rPr>
          <w:rFonts w:hint="eastAsia" w:ascii="新宋体" w:hAnsi="新宋体" w:eastAsia="新宋体" w:cs="新宋体"/>
          <w:b/>
          <w:sz w:val="32"/>
        </w:rPr>
      </w:pPr>
    </w:p>
    <w:p>
      <w:pPr>
        <w:pStyle w:val="11"/>
        <w:jc w:val="center"/>
        <w:rPr>
          <w:rFonts w:hint="eastAsia" w:ascii="新宋体" w:hAnsi="新宋体" w:eastAsia="新宋体" w:cs="新宋体"/>
          <w:b/>
          <w:sz w:val="32"/>
        </w:rPr>
      </w:pPr>
      <w:r>
        <w:rPr>
          <w:rFonts w:hint="eastAsia" w:ascii="新宋体" w:hAnsi="新宋体" w:eastAsia="新宋体" w:cs="新宋体"/>
          <w:b/>
          <w:sz w:val="32"/>
        </w:rPr>
        <w:t>竞 标 人 须 知</w:t>
      </w:r>
    </w:p>
    <w:p>
      <w:pPr>
        <w:pStyle w:val="11"/>
        <w:rPr>
          <w:rFonts w:hint="eastAsia" w:ascii="新宋体" w:hAnsi="新宋体" w:eastAsia="新宋体" w:cs="新宋体"/>
        </w:rPr>
      </w:pPr>
    </w:p>
    <w:p>
      <w:pPr>
        <w:pStyle w:val="5"/>
        <w:rPr>
          <w:rFonts w:hint="eastAsia" w:ascii="新宋体" w:hAnsi="新宋体" w:eastAsia="新宋体" w:cs="新宋体"/>
        </w:rPr>
      </w:pPr>
      <w:bookmarkStart w:id="21" w:name="_Toc339292059"/>
      <w:bookmarkStart w:id="22" w:name="_Toc24579"/>
      <w:bookmarkStart w:id="23" w:name="_Toc339291767"/>
      <w:bookmarkStart w:id="24" w:name="_Toc5983"/>
      <w:r>
        <w:rPr>
          <w:rFonts w:hint="eastAsia" w:ascii="新宋体" w:hAnsi="新宋体" w:eastAsia="新宋体" w:cs="新宋体"/>
        </w:rPr>
        <w:t>一 、总  则</w:t>
      </w:r>
      <w:bookmarkEnd w:id="21"/>
      <w:bookmarkEnd w:id="22"/>
      <w:bookmarkEnd w:id="23"/>
      <w:bookmarkEnd w:id="24"/>
    </w:p>
    <w:p>
      <w:pPr>
        <w:spacing w:before="50" w:after="50" w:line="360" w:lineRule="auto"/>
        <w:ind w:left="1890" w:leftChars="200" w:hanging="1470" w:hangingChars="700"/>
        <w:jc w:val="left"/>
        <w:rPr>
          <w:rFonts w:hint="eastAsia" w:ascii="新宋体" w:hAnsi="新宋体" w:eastAsia="新宋体" w:cs="新宋体"/>
          <w:u w:val="single"/>
        </w:rPr>
      </w:pPr>
      <w:bookmarkStart w:id="25" w:name="_Toc339291768"/>
      <w:bookmarkStart w:id="26" w:name="_Toc339292060"/>
      <w:r>
        <w:rPr>
          <w:rFonts w:hint="eastAsia" w:ascii="新宋体" w:hAnsi="新宋体" w:eastAsia="新宋体" w:cs="新宋体"/>
        </w:rPr>
        <w:t>1.项目名称：</w:t>
      </w:r>
      <w:bookmarkEnd w:id="25"/>
      <w:bookmarkEnd w:id="26"/>
      <w:r>
        <w:rPr>
          <w:rFonts w:hint="eastAsia" w:ascii="新宋体" w:hAnsi="新宋体" w:eastAsia="新宋体" w:cs="新宋体"/>
          <w:kern w:val="2"/>
          <w:sz w:val="21"/>
          <w:szCs w:val="21"/>
          <w:u w:val="none"/>
          <w:lang w:val="en-US" w:eastAsia="zh-CN" w:bidi="ar-SA"/>
        </w:rPr>
        <w:t xml:space="preserve"> 灵山县檀圩镇中心校特殊教育资源教室设备采购</w:t>
      </w:r>
    </w:p>
    <w:p>
      <w:pPr>
        <w:pStyle w:val="11"/>
        <w:spacing w:line="420" w:lineRule="exact"/>
        <w:rPr>
          <w:rFonts w:hint="eastAsia" w:ascii="新宋体" w:hAnsi="新宋体" w:eastAsia="新宋体" w:cs="新宋体"/>
          <w:u w:val="none"/>
        </w:rPr>
      </w:pPr>
      <w:r>
        <w:rPr>
          <w:rFonts w:hint="eastAsia" w:ascii="新宋体" w:hAnsi="新宋体" w:eastAsia="新宋体" w:cs="新宋体"/>
        </w:rPr>
        <w:t xml:space="preserve">    1.1竞标编号：</w:t>
      </w:r>
      <w:r>
        <w:rPr>
          <w:rFonts w:hint="eastAsia" w:ascii="新宋体" w:hAnsi="新宋体" w:eastAsia="新宋体" w:cs="新宋体"/>
          <w:kern w:val="2"/>
          <w:sz w:val="21"/>
          <w:szCs w:val="21"/>
          <w:u w:val="none"/>
          <w:lang w:val="en-US" w:eastAsia="zh-CN" w:bidi="ar-SA"/>
        </w:rPr>
        <w:t>QZZC2019-J1-2003-GXXL</w:t>
      </w:r>
    </w:p>
    <w:p>
      <w:pPr>
        <w:pStyle w:val="6"/>
        <w:rPr>
          <w:rFonts w:hint="eastAsia" w:ascii="新宋体" w:hAnsi="新宋体" w:eastAsia="新宋体" w:cs="新宋体"/>
          <w:szCs w:val="20"/>
        </w:rPr>
      </w:pPr>
      <w:bookmarkStart w:id="27" w:name="_Toc339291769"/>
      <w:bookmarkStart w:id="28" w:name="_Toc339292061"/>
      <w:r>
        <w:rPr>
          <w:rFonts w:hint="eastAsia" w:ascii="新宋体" w:hAnsi="新宋体" w:eastAsia="新宋体" w:cs="新宋体"/>
        </w:rPr>
        <w:t>2.供应商报名资格</w:t>
      </w:r>
      <w:bookmarkEnd w:id="27"/>
      <w:bookmarkEnd w:id="28"/>
      <w:bookmarkStart w:id="29" w:name="_Toc339291770"/>
      <w:bookmarkStart w:id="30" w:name="_Toc339292062"/>
    </w:p>
    <w:p>
      <w:pPr>
        <w:pStyle w:val="6"/>
        <w:rPr>
          <w:rFonts w:hint="eastAsia" w:ascii="新宋体" w:hAnsi="新宋体" w:eastAsia="新宋体" w:cs="新宋体"/>
          <w:b w:val="0"/>
          <w:bCs/>
          <w:szCs w:val="20"/>
        </w:rPr>
      </w:pPr>
      <w:r>
        <w:rPr>
          <w:rFonts w:hint="eastAsia" w:ascii="新宋体" w:hAnsi="新宋体" w:eastAsia="新宋体" w:cs="新宋体"/>
          <w:szCs w:val="20"/>
          <w:lang w:val="en-US" w:eastAsia="zh-CN"/>
        </w:rPr>
        <w:t xml:space="preserve">   </w:t>
      </w:r>
      <w:r>
        <w:rPr>
          <w:rFonts w:hint="eastAsia" w:ascii="新宋体" w:hAnsi="新宋体" w:eastAsia="新宋体" w:cs="新宋体"/>
          <w:b w:val="0"/>
          <w:bCs/>
          <w:szCs w:val="20"/>
        </w:rPr>
        <w:t>2.1要求符合《中华人民共和国政府采购法》第二十二条规定，国内注册（指按国家有关规定要求注册）的生产或经营本次招标采购货物的供应商。</w:t>
      </w:r>
    </w:p>
    <w:p>
      <w:pPr>
        <w:spacing w:line="312" w:lineRule="auto"/>
        <w:rPr>
          <w:rFonts w:hint="eastAsia" w:ascii="新宋体" w:hAnsi="新宋体" w:eastAsia="新宋体" w:cs="新宋体"/>
          <w:szCs w:val="20"/>
        </w:rPr>
      </w:pPr>
      <w:r>
        <w:rPr>
          <w:rFonts w:hint="eastAsia" w:ascii="新宋体" w:hAnsi="新宋体" w:eastAsia="新宋体" w:cs="新宋体"/>
          <w:b w:val="0"/>
          <w:bCs/>
          <w:szCs w:val="20"/>
        </w:rPr>
        <w:t xml:space="preserve">   2.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新宋体" w:hAnsi="新宋体" w:eastAsia="新宋体" w:cs="新宋体"/>
          <w:szCs w:val="20"/>
        </w:rPr>
        <w:t>。</w:t>
      </w:r>
    </w:p>
    <w:p>
      <w:pPr>
        <w:pStyle w:val="6"/>
        <w:rPr>
          <w:rFonts w:hint="eastAsia" w:ascii="新宋体" w:hAnsi="新宋体" w:eastAsia="新宋体" w:cs="新宋体"/>
        </w:rPr>
      </w:pPr>
      <w:r>
        <w:rPr>
          <w:rFonts w:hint="eastAsia" w:ascii="新宋体" w:hAnsi="新宋体" w:eastAsia="新宋体" w:cs="新宋体"/>
        </w:rPr>
        <w:t>3.竞标费用</w:t>
      </w:r>
      <w:bookmarkEnd w:id="29"/>
      <w:bookmarkEnd w:id="30"/>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3.1竞标人应自行承担所有与本次竞标有关的全部费用。</w:t>
      </w:r>
    </w:p>
    <w:p>
      <w:pPr>
        <w:pStyle w:val="5"/>
        <w:rPr>
          <w:rFonts w:hint="eastAsia" w:ascii="新宋体" w:hAnsi="新宋体" w:eastAsia="新宋体" w:cs="新宋体"/>
        </w:rPr>
      </w:pPr>
      <w:bookmarkStart w:id="31" w:name="_Toc29508"/>
      <w:bookmarkStart w:id="32" w:name="_Toc339292063"/>
      <w:bookmarkStart w:id="33" w:name="_Toc339291771"/>
      <w:bookmarkStart w:id="34" w:name="_Toc714"/>
      <w:r>
        <w:rPr>
          <w:rFonts w:hint="eastAsia" w:ascii="新宋体" w:hAnsi="新宋体" w:eastAsia="新宋体" w:cs="新宋体"/>
        </w:rPr>
        <w:t>二、竞争性谈判采购文件</w:t>
      </w:r>
      <w:r>
        <w:rPr>
          <w:rStyle w:val="33"/>
          <w:rFonts w:hint="eastAsia" w:ascii="新宋体" w:hAnsi="新宋体" w:eastAsia="新宋体" w:cs="新宋体"/>
          <w:b w:val="0"/>
          <w:spacing w:val="6"/>
          <w:sz w:val="28"/>
        </w:rPr>
        <w:t>（简称谈判采购文件）</w:t>
      </w:r>
      <w:bookmarkEnd w:id="31"/>
      <w:bookmarkEnd w:id="32"/>
      <w:bookmarkEnd w:id="33"/>
      <w:bookmarkEnd w:id="34"/>
    </w:p>
    <w:p>
      <w:pPr>
        <w:pStyle w:val="6"/>
        <w:rPr>
          <w:rFonts w:hint="eastAsia" w:ascii="新宋体" w:hAnsi="新宋体" w:eastAsia="新宋体" w:cs="新宋体"/>
        </w:rPr>
      </w:pPr>
      <w:bookmarkStart w:id="35" w:name="_Toc339292064"/>
      <w:bookmarkStart w:id="36" w:name="_Toc339291772"/>
      <w:r>
        <w:rPr>
          <w:rFonts w:hint="eastAsia" w:ascii="新宋体" w:hAnsi="新宋体" w:eastAsia="新宋体" w:cs="新宋体"/>
        </w:rPr>
        <w:t>4.谈判采购文件的构成</w:t>
      </w:r>
      <w:bookmarkEnd w:id="35"/>
      <w:bookmarkEnd w:id="36"/>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4.1采购文件包括：</w:t>
      </w:r>
    </w:p>
    <w:p>
      <w:pPr>
        <w:rPr>
          <w:rFonts w:hint="eastAsia" w:ascii="新宋体" w:hAnsi="新宋体" w:eastAsia="新宋体" w:cs="新宋体"/>
          <w:b w:val="0"/>
          <w:bCs/>
          <w:szCs w:val="20"/>
        </w:rPr>
      </w:pPr>
      <w:r>
        <w:rPr>
          <w:rFonts w:hint="eastAsia" w:ascii="新宋体" w:hAnsi="新宋体" w:eastAsia="新宋体" w:cs="新宋体"/>
        </w:rPr>
        <w:t xml:space="preserve">    </w:t>
      </w:r>
      <w:r>
        <w:rPr>
          <w:rFonts w:hint="eastAsia" w:ascii="新宋体" w:hAnsi="新宋体" w:eastAsia="新宋体" w:cs="新宋体"/>
          <w:b w:val="0"/>
          <w:bCs/>
          <w:szCs w:val="20"/>
        </w:rPr>
        <w:t>⑴谈判公告：中国政府采购网（http://www.ccgp.gov.cn）、广西壮族自治区政府采购网( http://www.gxzfcg.gov.cn) 、灵山县人民政府网站（http://www.gxls.gov.cn）</w:t>
      </w:r>
      <w:r>
        <w:rPr>
          <w:rFonts w:hint="eastAsia" w:ascii="新宋体" w:hAnsi="新宋体" w:eastAsia="新宋体" w:cs="新宋体"/>
          <w:b w:val="0"/>
          <w:bCs/>
          <w:szCs w:val="20"/>
          <w:lang w:eastAsia="zh-CN"/>
        </w:rPr>
        <w:t>、</w:t>
      </w:r>
      <w:r>
        <w:rPr>
          <w:rFonts w:hint="eastAsia" w:ascii="新宋体" w:hAnsi="新宋体" w:eastAsia="新宋体" w:cs="新宋体"/>
          <w:b w:val="0"/>
          <w:bCs/>
          <w:szCs w:val="20"/>
        </w:rPr>
        <w:t>广西祥立工程咨询有限责任公司网(http://www.gxxiangli.cn)</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⑵竞标须知及前附表；</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⑶货物需求一览表；</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⑷合同条款；</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⑸合同书格式；</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⑹响应文件格式；</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⑺评标方法。</w:t>
      </w:r>
    </w:p>
    <w:p>
      <w:pPr>
        <w:pStyle w:val="6"/>
        <w:rPr>
          <w:rFonts w:hint="eastAsia" w:ascii="新宋体" w:hAnsi="新宋体" w:eastAsia="新宋体" w:cs="新宋体"/>
        </w:rPr>
      </w:pPr>
      <w:bookmarkStart w:id="37" w:name="_Toc339291773"/>
      <w:bookmarkStart w:id="38" w:name="_Toc339292065"/>
      <w:r>
        <w:rPr>
          <w:rFonts w:hint="eastAsia" w:ascii="新宋体" w:hAnsi="新宋体" w:eastAsia="新宋体" w:cs="新宋体"/>
        </w:rPr>
        <w:t>5.谈判采购文件的澄清和修改</w:t>
      </w:r>
      <w:bookmarkEnd w:id="37"/>
      <w:bookmarkEnd w:id="38"/>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5.1任何要求澄清谈判采购文件的竞标人，均应在竞标截止日期的</w:t>
      </w:r>
      <w:r>
        <w:rPr>
          <w:rFonts w:hint="eastAsia" w:ascii="新宋体" w:hAnsi="新宋体" w:eastAsia="新宋体" w:cs="新宋体"/>
          <w:u w:val="single"/>
        </w:rPr>
        <w:t>3天前</w:t>
      </w:r>
      <w:r>
        <w:rPr>
          <w:rFonts w:hint="eastAsia" w:ascii="新宋体" w:hAnsi="新宋体" w:eastAsia="新宋体" w:cs="新宋体"/>
        </w:rPr>
        <w:t>以传真、电报等书面形式通知采购代理机构，同时认定其他澄清方式为无效。采购代理机构将以书面形式予以答复。</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5.2 在竞标截止日期前的任何时候，无论出于何种原因，采购代理机构可主动或在解答竞标人提出的澄清问题时对谈判采购文件进行澄清或修改。该澄清或修改的内容为响应文件的组成部分。</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5.3 谈判采购文件的澄清或修改将以书面形式通知所有购买谈判采购文件的竞标人，并对其具有约束力。</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5.4 采购代理机构可视具体情况，延长竞标截止时间，并将此澄清或修改通知所有购买谈判采购文件的竞标人。</w:t>
      </w:r>
    </w:p>
    <w:p>
      <w:pPr>
        <w:pStyle w:val="5"/>
        <w:rPr>
          <w:rFonts w:hint="eastAsia" w:ascii="新宋体" w:hAnsi="新宋体" w:eastAsia="新宋体" w:cs="新宋体"/>
        </w:rPr>
      </w:pPr>
      <w:bookmarkStart w:id="39" w:name="_Toc339291774"/>
      <w:bookmarkStart w:id="40" w:name="_Toc12389"/>
      <w:bookmarkStart w:id="41" w:name="_Toc339292066"/>
      <w:bookmarkStart w:id="42" w:name="_Toc17485"/>
      <w:r>
        <w:rPr>
          <w:rFonts w:hint="eastAsia" w:ascii="新宋体" w:hAnsi="新宋体" w:eastAsia="新宋体" w:cs="新宋体"/>
        </w:rPr>
        <w:t>三、响应文件的编制格式</w:t>
      </w:r>
      <w:bookmarkEnd w:id="39"/>
      <w:bookmarkEnd w:id="40"/>
      <w:bookmarkEnd w:id="41"/>
      <w:bookmarkEnd w:id="42"/>
    </w:p>
    <w:p>
      <w:pPr>
        <w:pStyle w:val="6"/>
        <w:rPr>
          <w:rFonts w:hint="eastAsia" w:ascii="新宋体" w:hAnsi="新宋体" w:eastAsia="新宋体" w:cs="新宋体"/>
        </w:rPr>
      </w:pPr>
      <w:bookmarkStart w:id="43" w:name="_Toc339292067"/>
      <w:bookmarkStart w:id="44" w:name="_Toc339291775"/>
      <w:r>
        <w:rPr>
          <w:rFonts w:hint="eastAsia" w:ascii="新宋体" w:hAnsi="新宋体" w:eastAsia="新宋体" w:cs="新宋体"/>
        </w:rPr>
        <w:t>6.响应文件编写的注意事项</w:t>
      </w:r>
      <w:bookmarkEnd w:id="43"/>
      <w:bookmarkEnd w:id="44"/>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6.1竞标人应认真阅读竞争性谈判采购文件，按照竞争性谈判采购文件的要求编制响应文件。如果没有按照竞争性谈判采购文件要求提交响应文件，没有对竞争性谈判采购文件提出的实质性要求和条件作出响应，该竞标将被拒绝。</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6.2对竞争性谈判采购文件提出的实质性要求和条件作出响应是指竞标人必须对竞争性谈判采购文件中竞标项目的价格、技术参数及性能配置、数量、售后服务及其它要求内容作出响应。</w:t>
      </w:r>
    </w:p>
    <w:p>
      <w:pPr>
        <w:pStyle w:val="6"/>
        <w:rPr>
          <w:rFonts w:hint="eastAsia" w:ascii="新宋体" w:hAnsi="新宋体" w:eastAsia="新宋体" w:cs="新宋体"/>
        </w:rPr>
      </w:pPr>
      <w:bookmarkStart w:id="45" w:name="_Toc339291776"/>
      <w:bookmarkStart w:id="46" w:name="_Toc339292068"/>
      <w:r>
        <w:rPr>
          <w:rFonts w:hint="eastAsia" w:ascii="新宋体" w:hAnsi="新宋体" w:eastAsia="新宋体" w:cs="新宋体"/>
        </w:rPr>
        <w:t>7.响应文件的构成</w:t>
      </w:r>
      <w:bookmarkEnd w:id="45"/>
      <w:bookmarkEnd w:id="46"/>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7.1竞标人编写的响应文件应包括下列内容（</w:t>
      </w:r>
      <w:r>
        <w:rPr>
          <w:rFonts w:hint="eastAsia" w:ascii="新宋体" w:hAnsi="新宋体" w:eastAsia="新宋体" w:cs="新宋体"/>
          <w:b/>
          <w:bCs/>
        </w:rPr>
        <w:t>竞标人应按下列顺序自编目录及页码装订成册，否则文件失散引起的后果自负</w:t>
      </w:r>
      <w:r>
        <w:rPr>
          <w:rFonts w:hint="eastAsia" w:ascii="新宋体" w:hAnsi="新宋体" w:eastAsia="新宋体" w:cs="新宋体"/>
        </w:rPr>
        <w:t>）：</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一、商务部分</w:t>
      </w:r>
    </w:p>
    <w:p>
      <w:pPr>
        <w:pStyle w:val="11"/>
        <w:spacing w:line="420" w:lineRule="exact"/>
        <w:ind w:left="420"/>
        <w:rPr>
          <w:rFonts w:hint="eastAsia" w:ascii="新宋体" w:hAnsi="新宋体" w:eastAsia="新宋体" w:cs="新宋体"/>
        </w:rPr>
      </w:pPr>
      <w:r>
        <w:rPr>
          <w:rFonts w:hint="eastAsia" w:ascii="新宋体" w:hAnsi="新宋体" w:eastAsia="新宋体" w:cs="新宋体"/>
        </w:rPr>
        <w:t>1、竞标函；</w:t>
      </w:r>
    </w:p>
    <w:p>
      <w:pPr>
        <w:pStyle w:val="11"/>
        <w:spacing w:line="420" w:lineRule="exact"/>
        <w:ind w:left="420"/>
        <w:rPr>
          <w:rFonts w:hint="eastAsia" w:ascii="新宋体" w:hAnsi="新宋体" w:eastAsia="新宋体" w:cs="新宋体"/>
        </w:rPr>
      </w:pPr>
      <w:r>
        <w:rPr>
          <w:rFonts w:hint="eastAsia" w:ascii="新宋体" w:hAnsi="新宋体" w:eastAsia="新宋体" w:cs="新宋体"/>
        </w:rPr>
        <w:t>2、竞标报价表；</w:t>
      </w:r>
    </w:p>
    <w:p>
      <w:pPr>
        <w:pStyle w:val="11"/>
        <w:spacing w:line="420" w:lineRule="exact"/>
        <w:ind w:left="420"/>
        <w:rPr>
          <w:rFonts w:hint="eastAsia" w:ascii="新宋体" w:hAnsi="新宋体" w:eastAsia="新宋体" w:cs="新宋体"/>
        </w:rPr>
      </w:pPr>
      <w:r>
        <w:rPr>
          <w:rFonts w:hint="eastAsia" w:ascii="新宋体" w:hAnsi="新宋体" w:eastAsia="新宋体" w:cs="新宋体"/>
        </w:rPr>
        <w:t>3、商务响应表；</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4、竞标保证金缴纳收据；</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5、</w:t>
      </w:r>
      <w:r>
        <w:rPr>
          <w:rFonts w:hint="eastAsia" w:ascii="新宋体" w:hAnsi="新宋体" w:eastAsia="新宋体" w:cs="新宋体"/>
          <w:lang w:eastAsia="zh-CN"/>
        </w:rPr>
        <w:t>竞标人在</w:t>
      </w:r>
      <w:r>
        <w:rPr>
          <w:rFonts w:hint="eastAsia" w:ascii="新宋体" w:hAnsi="新宋体" w:eastAsia="新宋体" w:cs="新宋体"/>
        </w:rPr>
        <w:t>“信用中国”网站(www.creditchina.gov.cn)、中国政府采购网(www.ccgp.gov.cn)等渠道未列入失信被执行人、重大税收违法案件当事人名单载图；</w:t>
      </w:r>
    </w:p>
    <w:p>
      <w:pPr>
        <w:pStyle w:val="11"/>
        <w:spacing w:line="420" w:lineRule="exact"/>
        <w:ind w:firstLine="412"/>
        <w:rPr>
          <w:rFonts w:hint="eastAsia" w:ascii="新宋体" w:hAnsi="新宋体" w:eastAsia="新宋体" w:cs="新宋体"/>
        </w:rPr>
      </w:pPr>
      <w:r>
        <w:rPr>
          <w:rFonts w:hint="eastAsia" w:ascii="新宋体" w:hAnsi="新宋体" w:eastAsia="新宋体" w:cs="新宋体"/>
        </w:rPr>
        <w:t xml:space="preserve">6、竞标人资格证明文件； </w:t>
      </w:r>
    </w:p>
    <w:p>
      <w:pPr>
        <w:pStyle w:val="11"/>
        <w:spacing w:line="420" w:lineRule="exact"/>
        <w:ind w:firstLine="412"/>
        <w:rPr>
          <w:rFonts w:hint="eastAsia" w:ascii="新宋体" w:hAnsi="新宋体" w:eastAsia="新宋体" w:cs="新宋体"/>
        </w:rPr>
      </w:pPr>
      <w:r>
        <w:rPr>
          <w:rFonts w:hint="eastAsia" w:ascii="新宋体" w:hAnsi="新宋体" w:eastAsia="新宋体" w:cs="新宋体"/>
        </w:rPr>
        <w:t>7、证明竞标货物合格的证明文件；</w:t>
      </w:r>
    </w:p>
    <w:p>
      <w:pPr>
        <w:pStyle w:val="11"/>
        <w:spacing w:line="420" w:lineRule="exact"/>
        <w:ind w:firstLine="412"/>
        <w:rPr>
          <w:rFonts w:hint="eastAsia" w:ascii="新宋体" w:hAnsi="新宋体" w:eastAsia="新宋体" w:cs="新宋体"/>
        </w:rPr>
      </w:pPr>
      <w:r>
        <w:rPr>
          <w:rFonts w:hint="eastAsia" w:ascii="新宋体" w:hAnsi="新宋体" w:eastAsia="新宋体" w:cs="新宋体"/>
        </w:rPr>
        <w:t>8、售后服务承诺书。</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二、技术部分</w:t>
      </w:r>
    </w:p>
    <w:p>
      <w:pPr>
        <w:pStyle w:val="11"/>
        <w:spacing w:line="420" w:lineRule="exact"/>
        <w:ind w:firstLine="308" w:firstLineChars="147"/>
        <w:rPr>
          <w:rFonts w:hint="eastAsia" w:ascii="新宋体" w:hAnsi="新宋体" w:eastAsia="新宋体" w:cs="新宋体"/>
        </w:rPr>
      </w:pPr>
      <w:r>
        <w:rPr>
          <w:rFonts w:hint="eastAsia" w:ascii="新宋体" w:hAnsi="新宋体" w:eastAsia="新宋体" w:cs="新宋体"/>
        </w:rPr>
        <w:t xml:space="preserve"> 1、技术规格偏离表； </w:t>
      </w:r>
    </w:p>
    <w:p>
      <w:pPr>
        <w:pStyle w:val="11"/>
        <w:spacing w:line="440" w:lineRule="exact"/>
        <w:ind w:firstLine="359" w:firstLineChars="171"/>
        <w:rPr>
          <w:rFonts w:hint="eastAsia" w:ascii="新宋体" w:hAnsi="新宋体" w:eastAsia="新宋体" w:cs="新宋体"/>
        </w:rPr>
      </w:pPr>
      <w:r>
        <w:rPr>
          <w:rFonts w:hint="eastAsia" w:ascii="新宋体" w:hAnsi="新宋体" w:eastAsia="新宋体" w:cs="新宋体"/>
        </w:rPr>
        <w:t>三、其他</w:t>
      </w:r>
    </w:p>
    <w:p>
      <w:pPr>
        <w:pStyle w:val="6"/>
        <w:rPr>
          <w:rFonts w:hint="eastAsia" w:ascii="新宋体" w:hAnsi="新宋体" w:eastAsia="新宋体" w:cs="新宋体"/>
        </w:rPr>
      </w:pPr>
      <w:bookmarkStart w:id="47" w:name="_Toc339291777"/>
      <w:bookmarkStart w:id="48" w:name="_Toc339292069"/>
      <w:r>
        <w:rPr>
          <w:rFonts w:hint="eastAsia" w:ascii="新宋体" w:hAnsi="新宋体" w:eastAsia="新宋体" w:cs="新宋体"/>
        </w:rPr>
        <w:t>8.响应文件的语言及计量单位</w:t>
      </w:r>
      <w:bookmarkEnd w:id="47"/>
      <w:bookmarkEnd w:id="48"/>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8.1竞标人的响应文件以及竞标人与采购代理机构的所有来往的函电统一使用中文（另有规定的除外）。</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8.2响应文件中使用的计量单位除谈判采购文件中有特殊规定外，一律使用法定计量单位。</w:t>
      </w:r>
    </w:p>
    <w:p>
      <w:pPr>
        <w:pStyle w:val="6"/>
        <w:rPr>
          <w:rFonts w:hint="eastAsia" w:ascii="新宋体" w:hAnsi="新宋体" w:eastAsia="新宋体" w:cs="新宋体"/>
        </w:rPr>
      </w:pPr>
      <w:bookmarkStart w:id="49" w:name="_Toc339291778"/>
      <w:bookmarkStart w:id="50" w:name="_Toc339292070"/>
      <w:r>
        <w:rPr>
          <w:rFonts w:hint="eastAsia" w:ascii="新宋体" w:hAnsi="新宋体" w:eastAsia="新宋体" w:cs="新宋体"/>
        </w:rPr>
        <w:t>9. 竞标函格式</w:t>
      </w:r>
      <w:bookmarkEnd w:id="49"/>
      <w:bookmarkEnd w:id="50"/>
    </w:p>
    <w:p>
      <w:pPr>
        <w:pStyle w:val="11"/>
        <w:spacing w:line="420" w:lineRule="exact"/>
        <w:ind w:firstLine="420" w:firstLineChars="200"/>
        <w:rPr>
          <w:rFonts w:hint="eastAsia" w:ascii="新宋体" w:hAnsi="新宋体" w:eastAsia="新宋体" w:cs="新宋体"/>
        </w:rPr>
      </w:pPr>
      <w:r>
        <w:rPr>
          <w:rFonts w:hint="eastAsia" w:ascii="新宋体" w:hAnsi="新宋体" w:eastAsia="新宋体" w:cs="新宋体"/>
        </w:rPr>
        <w:t>9.1</w:t>
      </w:r>
      <w:r>
        <w:rPr>
          <w:rFonts w:hint="eastAsia" w:ascii="新宋体" w:hAnsi="新宋体" w:eastAsia="新宋体" w:cs="新宋体"/>
          <w:bCs/>
        </w:rPr>
        <w:t>竞</w:t>
      </w:r>
      <w:r>
        <w:rPr>
          <w:rFonts w:hint="eastAsia" w:ascii="新宋体" w:hAnsi="新宋体" w:eastAsia="新宋体" w:cs="新宋体"/>
        </w:rPr>
        <w:t>标人应完整地填写谈判采购文件中的竞标函格式和竞标报价表，</w:t>
      </w:r>
      <w:r>
        <w:rPr>
          <w:rFonts w:hint="eastAsia" w:ascii="新宋体" w:hAnsi="新宋体" w:eastAsia="新宋体" w:cs="新宋体"/>
          <w:color w:val="FF0000"/>
        </w:rPr>
        <w:t>详细标明所提供的货物及部件名称、型号规格、技术参数、配置、品牌、生产厂家、数量及产品所执行的标准及价格</w:t>
      </w:r>
      <w:r>
        <w:rPr>
          <w:rFonts w:hint="eastAsia" w:ascii="新宋体" w:hAnsi="新宋体" w:eastAsia="新宋体" w:cs="新宋体"/>
        </w:rPr>
        <w:t>。</w:t>
      </w:r>
    </w:p>
    <w:p>
      <w:pPr>
        <w:pStyle w:val="6"/>
        <w:rPr>
          <w:rFonts w:hint="eastAsia" w:ascii="新宋体" w:hAnsi="新宋体" w:eastAsia="新宋体" w:cs="新宋体"/>
        </w:rPr>
      </w:pPr>
      <w:bookmarkStart w:id="51" w:name="_Toc339291779"/>
      <w:bookmarkStart w:id="52" w:name="_Toc339292071"/>
      <w:r>
        <w:rPr>
          <w:rFonts w:hint="eastAsia" w:ascii="新宋体" w:hAnsi="新宋体" w:eastAsia="新宋体" w:cs="新宋体"/>
        </w:rPr>
        <w:t>10.竞标报价</w:t>
      </w:r>
      <w:bookmarkEnd w:id="51"/>
      <w:bookmarkEnd w:id="52"/>
    </w:p>
    <w:p>
      <w:pPr>
        <w:pStyle w:val="11"/>
        <w:spacing w:line="420" w:lineRule="exact"/>
        <w:ind w:firstLine="420"/>
        <w:rPr>
          <w:rFonts w:hint="eastAsia" w:ascii="新宋体" w:hAnsi="新宋体" w:eastAsia="新宋体" w:cs="新宋体"/>
          <w:b/>
          <w:bCs/>
        </w:rPr>
      </w:pPr>
      <w:r>
        <w:rPr>
          <w:rFonts w:hint="eastAsia" w:ascii="新宋体" w:hAnsi="新宋体" w:eastAsia="新宋体" w:cs="新宋体"/>
        </w:rPr>
        <w:t>10.1</w:t>
      </w:r>
      <w:r>
        <w:rPr>
          <w:rFonts w:hint="eastAsia" w:ascii="新宋体" w:hAnsi="新宋体" w:eastAsia="新宋体" w:cs="新宋体"/>
          <w:b/>
          <w:bCs/>
        </w:rPr>
        <w:t>竞标人须就《货物需求一览表》中的货物和服务内容作唯一完整报价。</w:t>
      </w:r>
    </w:p>
    <w:p>
      <w:pPr>
        <w:pStyle w:val="11"/>
        <w:spacing w:line="420" w:lineRule="exact"/>
        <w:ind w:firstLine="420"/>
        <w:rPr>
          <w:rFonts w:hint="eastAsia" w:ascii="新宋体" w:hAnsi="新宋体" w:eastAsia="新宋体" w:cs="新宋体"/>
          <w:u w:val="single"/>
        </w:rPr>
      </w:pPr>
      <w:r>
        <w:rPr>
          <w:rFonts w:hint="eastAsia" w:ascii="新宋体" w:hAnsi="新宋体" w:eastAsia="新宋体" w:cs="新宋体"/>
        </w:rPr>
        <w:t>10.2竞标人应在竞标报价表上标明单价和总价。如单价和总价不符，以单价累计为准。小写与大写不符的，以大写为准。如果因竞标人原因引起的报价失误，同时又被谈判时所接受，其后果由竞标人自负。</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10.3竞标报价指货物、随配附件、备品备件、工具、货物运抵指定交货地点、安装、调试的各种费用和售后服务、税金及其它所有成本费用的总和。</w:t>
      </w:r>
    </w:p>
    <w:p>
      <w:pPr>
        <w:pStyle w:val="6"/>
        <w:rPr>
          <w:rFonts w:hint="eastAsia" w:ascii="新宋体" w:hAnsi="新宋体" w:eastAsia="新宋体" w:cs="新宋体"/>
        </w:rPr>
      </w:pPr>
      <w:bookmarkStart w:id="53" w:name="_Toc339292072"/>
      <w:bookmarkStart w:id="54" w:name="_Toc339291780"/>
      <w:r>
        <w:rPr>
          <w:rFonts w:hint="eastAsia" w:ascii="新宋体" w:hAnsi="新宋体" w:eastAsia="新宋体" w:cs="新宋体"/>
        </w:rPr>
        <w:t>11.竞标货币</w:t>
      </w:r>
      <w:bookmarkEnd w:id="53"/>
      <w:bookmarkEnd w:id="54"/>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11.1竞标应以人民币报价。</w:t>
      </w:r>
    </w:p>
    <w:p>
      <w:pPr>
        <w:pStyle w:val="6"/>
        <w:rPr>
          <w:rFonts w:hint="eastAsia" w:ascii="新宋体" w:hAnsi="新宋体" w:eastAsia="新宋体" w:cs="新宋体"/>
        </w:rPr>
      </w:pPr>
      <w:bookmarkStart w:id="55" w:name="_Toc339292073"/>
      <w:bookmarkStart w:id="56" w:name="_Toc339291781"/>
      <w:r>
        <w:rPr>
          <w:rFonts w:hint="eastAsia" w:ascii="新宋体" w:hAnsi="新宋体" w:eastAsia="新宋体" w:cs="新宋体"/>
        </w:rPr>
        <w:t>12.证明竞标人合格和资格的文件</w:t>
      </w:r>
      <w:bookmarkEnd w:id="55"/>
      <w:bookmarkEnd w:id="56"/>
    </w:p>
    <w:p>
      <w:pPr>
        <w:pStyle w:val="11"/>
        <w:spacing w:line="420" w:lineRule="exact"/>
        <w:ind w:firstLine="420" w:firstLineChars="200"/>
        <w:rPr>
          <w:rFonts w:hint="eastAsia" w:ascii="新宋体" w:hAnsi="新宋体" w:eastAsia="新宋体" w:cs="新宋体"/>
          <w:b/>
        </w:rPr>
      </w:pPr>
      <w:r>
        <w:rPr>
          <w:rFonts w:hint="eastAsia" w:ascii="新宋体" w:hAnsi="新宋体" w:eastAsia="新宋体" w:cs="新宋体"/>
        </w:rPr>
        <w:t>12.1证明竞标人合格和资格的文件包括 [其中⑴、⑵、⑶、⑷、⑸项所要求提交的资格文件必须提交，否则其竞标无效：</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(1)竞标人有效的“营业执照”副本内页复印件（</w:t>
      </w:r>
      <w:r>
        <w:rPr>
          <w:rFonts w:hint="eastAsia" w:ascii="新宋体" w:hAnsi="新宋体" w:eastAsia="新宋体" w:cs="新宋体"/>
          <w:b/>
        </w:rPr>
        <w:t>必须提供，已办理“三证合一”的请提供“三证合一”营业执照副本复印件，同时要加盖单位公章，否则竞标无效</w:t>
      </w:r>
      <w:r>
        <w:rPr>
          <w:rFonts w:hint="eastAsia" w:ascii="新宋体" w:hAnsi="新宋体" w:eastAsia="新宋体" w:cs="新宋体"/>
        </w:rPr>
        <w:t xml:space="preserve">）； </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(2)有效的税务登记证复印件（</w:t>
      </w:r>
      <w:r>
        <w:rPr>
          <w:rFonts w:hint="eastAsia" w:ascii="新宋体" w:hAnsi="新宋体" w:eastAsia="新宋体" w:cs="新宋体"/>
          <w:b/>
        </w:rPr>
        <w:t>如有请提供，已办理“三证合一”的则不用提供，复印件加盖单位公章，否则竞标无效</w:t>
      </w:r>
      <w:r>
        <w:rPr>
          <w:rFonts w:hint="eastAsia" w:ascii="新宋体" w:hAnsi="新宋体" w:eastAsia="新宋体" w:cs="新宋体"/>
        </w:rPr>
        <w:t>）；</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(3)有效的中华人民共和国组织机构代码证复印件（</w:t>
      </w:r>
      <w:r>
        <w:rPr>
          <w:rFonts w:hint="eastAsia" w:ascii="新宋体" w:hAnsi="新宋体" w:eastAsia="新宋体" w:cs="新宋体"/>
          <w:b/>
        </w:rPr>
        <w:t>如有请提供，已办理“三证合一”的则不用提供，复印件加盖单位公章，否则竞标无效</w:t>
      </w:r>
      <w:r>
        <w:rPr>
          <w:rFonts w:hint="eastAsia" w:ascii="新宋体" w:hAnsi="新宋体" w:eastAsia="新宋体" w:cs="新宋体"/>
        </w:rPr>
        <w:t>）；</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(4)法定代表人（负责人）身份证复印件（</w:t>
      </w:r>
      <w:r>
        <w:rPr>
          <w:rFonts w:hint="eastAsia" w:ascii="新宋体" w:hAnsi="新宋体" w:eastAsia="新宋体" w:cs="新宋体"/>
          <w:b/>
        </w:rPr>
        <w:t>必须提供</w:t>
      </w:r>
      <w:r>
        <w:rPr>
          <w:rFonts w:hint="eastAsia" w:ascii="新宋体" w:hAnsi="新宋体" w:eastAsia="新宋体" w:cs="新宋体"/>
        </w:rPr>
        <w:t>）；</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(5)法人（负责人）授权委托书原件和委托代理人身份证复印件（</w:t>
      </w:r>
      <w:r>
        <w:rPr>
          <w:rFonts w:hint="eastAsia" w:ascii="新宋体" w:hAnsi="新宋体" w:eastAsia="新宋体" w:cs="新宋体"/>
          <w:b/>
        </w:rPr>
        <w:t>如委托时必须提供</w:t>
      </w:r>
      <w:r>
        <w:rPr>
          <w:rFonts w:hint="eastAsia" w:ascii="新宋体" w:hAnsi="新宋体" w:eastAsia="新宋体" w:cs="新宋体"/>
        </w:rPr>
        <w:t xml:space="preserve">）；  </w:t>
      </w:r>
    </w:p>
    <w:p>
      <w:pPr>
        <w:pStyle w:val="11"/>
        <w:spacing w:line="420" w:lineRule="exact"/>
        <w:ind w:firstLine="210" w:firstLineChars="100"/>
        <w:rPr>
          <w:rFonts w:hint="eastAsia" w:ascii="新宋体" w:hAnsi="新宋体" w:eastAsia="新宋体" w:cs="新宋体"/>
          <w:lang w:eastAsia="zh-CN"/>
        </w:rPr>
      </w:pPr>
      <w:r>
        <w:rPr>
          <w:rFonts w:hint="eastAsia" w:ascii="新宋体" w:hAnsi="新宋体" w:eastAsia="新宋体" w:cs="新宋体"/>
        </w:rPr>
        <w:t xml:space="preserve"> (6)</w:t>
      </w:r>
      <w:r>
        <w:rPr>
          <w:rFonts w:hint="eastAsia" w:ascii="新宋体" w:hAnsi="新宋体" w:eastAsia="新宋体" w:cs="新宋体"/>
          <w:lang w:eastAsia="zh-CN"/>
        </w:rPr>
        <w:t>竞标人在</w:t>
      </w:r>
      <w:r>
        <w:rPr>
          <w:rFonts w:hint="eastAsia" w:ascii="新宋体" w:hAnsi="新宋体" w:eastAsia="新宋体" w:cs="新宋体"/>
        </w:rPr>
        <w:t>“信用中国”网站(www.creditchina.gov.cn)、中国政府采购网(www.ccgp.gov.cn)等渠道未列入失信被执行人、重大税收违法案件当事人名单载图</w:t>
      </w:r>
      <w:r>
        <w:rPr>
          <w:rFonts w:hint="eastAsia" w:ascii="新宋体" w:hAnsi="新宋体" w:eastAsia="新宋体" w:cs="新宋体"/>
          <w:lang w:eastAsia="zh-CN"/>
        </w:rPr>
        <w:t>。</w:t>
      </w:r>
    </w:p>
    <w:p>
      <w:pPr>
        <w:pStyle w:val="11"/>
        <w:spacing w:line="420" w:lineRule="exact"/>
        <w:ind w:firstLine="315" w:firstLineChars="150"/>
        <w:rPr>
          <w:rFonts w:hint="eastAsia" w:ascii="新宋体" w:hAnsi="新宋体" w:eastAsia="新宋体" w:cs="新宋体"/>
        </w:rPr>
      </w:pPr>
      <w:r>
        <w:rPr>
          <w:rFonts w:hint="eastAsia" w:ascii="新宋体" w:hAnsi="新宋体" w:eastAsia="新宋体" w:cs="新宋体"/>
        </w:rPr>
        <w:t>(</w:t>
      </w:r>
      <w:r>
        <w:rPr>
          <w:rFonts w:hint="eastAsia" w:ascii="新宋体" w:hAnsi="新宋体" w:eastAsia="新宋体" w:cs="新宋体"/>
          <w:lang w:val="en-US" w:eastAsia="zh-CN"/>
        </w:rPr>
        <w:t>7</w:t>
      </w:r>
      <w:r>
        <w:rPr>
          <w:rFonts w:hint="eastAsia" w:ascii="新宋体" w:hAnsi="新宋体" w:eastAsia="新宋体" w:cs="新宋体"/>
        </w:rPr>
        <w:t>)竞标人认为必要提供的声明及文件资料</w:t>
      </w:r>
      <w:bookmarkStart w:id="57" w:name="_Toc339291782"/>
      <w:bookmarkStart w:id="58" w:name="_Toc339292074"/>
      <w:r>
        <w:rPr>
          <w:rFonts w:hint="eastAsia" w:ascii="新宋体" w:hAnsi="新宋体" w:eastAsia="新宋体" w:cs="新宋体"/>
        </w:rPr>
        <w:t>（</w:t>
      </w:r>
      <w:r>
        <w:rPr>
          <w:rFonts w:hint="eastAsia" w:ascii="新宋体" w:hAnsi="新宋体" w:eastAsia="新宋体" w:cs="新宋体"/>
          <w:b/>
        </w:rPr>
        <w:t>如有请提供</w:t>
      </w:r>
      <w:r>
        <w:rPr>
          <w:rFonts w:hint="eastAsia" w:ascii="新宋体" w:hAnsi="新宋体" w:eastAsia="新宋体" w:cs="新宋体"/>
        </w:rPr>
        <w:t>）。</w:t>
      </w:r>
    </w:p>
    <w:p>
      <w:pPr>
        <w:pStyle w:val="11"/>
        <w:spacing w:line="420" w:lineRule="exact"/>
        <w:rPr>
          <w:rFonts w:hint="eastAsia" w:ascii="新宋体" w:hAnsi="新宋体" w:eastAsia="新宋体" w:cs="新宋体"/>
        </w:rPr>
      </w:pPr>
      <w:r>
        <w:rPr>
          <w:rFonts w:hint="eastAsia" w:ascii="新宋体" w:hAnsi="新宋体" w:eastAsia="新宋体" w:cs="新宋体"/>
        </w:rPr>
        <w:t>13.证明货物的合格性和符合谈判采购文件规定的相关文件</w:t>
      </w:r>
      <w:bookmarkEnd w:id="57"/>
      <w:bookmarkEnd w:id="58"/>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13.1按照本须知第7条规定，竞标人还应可提交根据本项目要求提供证明货物和手续合格性的文件及资料。它们可以是：</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⑴ 生产厂家的有关资格、产品质量检验证（由生产厂家提供均为复印件）（</w:t>
      </w:r>
      <w:r>
        <w:rPr>
          <w:rFonts w:hint="eastAsia" w:ascii="新宋体" w:hAnsi="新宋体" w:eastAsia="新宋体" w:cs="新宋体"/>
          <w:b/>
        </w:rPr>
        <w:t>如有请提供</w:t>
      </w:r>
      <w:r>
        <w:rPr>
          <w:rFonts w:hint="eastAsia" w:ascii="新宋体" w:hAnsi="新宋体" w:eastAsia="新宋体" w:cs="新宋体"/>
        </w:rPr>
        <w:t>）；</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⑵ 产品样本、使用说明书等技术资料及产品近三年获得的质量获奖荣誉证书(复印件)（</w:t>
      </w:r>
      <w:r>
        <w:rPr>
          <w:rFonts w:hint="eastAsia" w:ascii="新宋体" w:hAnsi="新宋体" w:eastAsia="新宋体" w:cs="新宋体"/>
          <w:b/>
        </w:rPr>
        <w:t>如有请提供</w:t>
      </w:r>
      <w:r>
        <w:rPr>
          <w:rFonts w:hint="eastAsia" w:ascii="新宋体" w:hAnsi="新宋体" w:eastAsia="新宋体" w:cs="新宋体"/>
        </w:rPr>
        <w:t>）；</w:t>
      </w:r>
    </w:p>
    <w:p>
      <w:pPr>
        <w:pStyle w:val="11"/>
        <w:spacing w:line="440" w:lineRule="exact"/>
        <w:ind w:firstLine="420"/>
        <w:rPr>
          <w:rFonts w:hint="eastAsia" w:ascii="新宋体" w:hAnsi="新宋体" w:eastAsia="新宋体" w:cs="新宋体"/>
        </w:rPr>
      </w:pPr>
      <w:r>
        <w:rPr>
          <w:rFonts w:hint="eastAsia" w:ascii="新宋体" w:hAnsi="新宋体" w:eastAsia="新宋体" w:cs="新宋体"/>
        </w:rPr>
        <w:t>⑶产品销售授权书或代理证书（</w:t>
      </w:r>
      <w:r>
        <w:rPr>
          <w:rFonts w:hint="eastAsia" w:ascii="新宋体" w:hAnsi="新宋体" w:eastAsia="新宋体" w:cs="新宋体"/>
          <w:b/>
        </w:rPr>
        <w:t>如有请提供</w:t>
      </w:r>
      <w:r>
        <w:rPr>
          <w:rFonts w:hint="eastAsia" w:ascii="新宋体" w:hAnsi="新宋体" w:eastAsia="新宋体" w:cs="新宋体"/>
        </w:rPr>
        <w:t>）；</w:t>
      </w:r>
    </w:p>
    <w:p>
      <w:pPr>
        <w:pStyle w:val="11"/>
        <w:spacing w:line="420" w:lineRule="exact"/>
        <w:ind w:firstLine="420" w:firstLineChars="200"/>
        <w:rPr>
          <w:rFonts w:hint="eastAsia" w:ascii="新宋体" w:hAnsi="新宋体" w:eastAsia="新宋体" w:cs="新宋体"/>
          <w:b/>
        </w:rPr>
      </w:pPr>
      <w:r>
        <w:rPr>
          <w:rFonts w:hint="eastAsia" w:ascii="新宋体" w:hAnsi="新宋体" w:eastAsia="新宋体" w:cs="新宋体"/>
        </w:rPr>
        <w:t>⑷ 其他文件、材料（</w:t>
      </w:r>
      <w:r>
        <w:rPr>
          <w:rFonts w:hint="eastAsia" w:ascii="新宋体" w:hAnsi="新宋体" w:eastAsia="新宋体" w:cs="新宋体"/>
          <w:b/>
        </w:rPr>
        <w:t>如有请提供</w:t>
      </w:r>
      <w:r>
        <w:rPr>
          <w:rFonts w:hint="eastAsia" w:ascii="新宋体" w:hAnsi="新宋体" w:eastAsia="新宋体" w:cs="新宋体"/>
        </w:rPr>
        <w:t>）。</w:t>
      </w:r>
    </w:p>
    <w:p>
      <w:pPr>
        <w:pStyle w:val="6"/>
        <w:rPr>
          <w:rFonts w:hint="eastAsia" w:ascii="新宋体" w:hAnsi="新宋体" w:eastAsia="新宋体" w:cs="新宋体"/>
        </w:rPr>
      </w:pPr>
      <w:bookmarkStart w:id="59" w:name="_Toc339291783"/>
      <w:bookmarkStart w:id="60" w:name="_Toc339292075"/>
      <w:r>
        <w:rPr>
          <w:rFonts w:hint="eastAsia" w:ascii="新宋体" w:hAnsi="新宋体" w:eastAsia="新宋体" w:cs="新宋体"/>
        </w:rPr>
        <w:t>14.竞标的有效期</w:t>
      </w:r>
      <w:bookmarkEnd w:id="59"/>
      <w:bookmarkEnd w:id="60"/>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14.1响应文件从</w:t>
      </w:r>
      <w:r>
        <w:rPr>
          <w:rFonts w:hint="eastAsia" w:ascii="新宋体" w:hAnsi="新宋体" w:eastAsia="新宋体" w:cs="新宋体"/>
          <w:szCs w:val="21"/>
        </w:rPr>
        <w:t>自递交响应文件截止日期之日起60天内有效</w:t>
      </w:r>
      <w:r>
        <w:rPr>
          <w:rFonts w:hint="eastAsia" w:ascii="新宋体" w:hAnsi="新宋体" w:eastAsia="新宋体" w:cs="新宋体"/>
        </w:rPr>
        <w:t>。</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14.2在特殊情况下，采购代理机构可酌情延长竞标有效期。竞标人可同意或不同意延长响应文件的有效期，不同意延长响应文件的有效期的竞标人，其竞标保证金将在原响应文件的有效期满后5个工作日内予以退还，不计利息；同意延长响应文件的有效期的竞标人不能要求对原响应文件（经竞标人与谈判小组谈判后确定的内容作为原响应文件的组成部分）作任何改变，并同意在延长的竞标有效期内遵循本响应文件，在延长的竞标有效期满之前继续具有约束力。</w:t>
      </w:r>
    </w:p>
    <w:p>
      <w:pPr>
        <w:pStyle w:val="6"/>
        <w:rPr>
          <w:rFonts w:hint="eastAsia" w:ascii="新宋体" w:hAnsi="新宋体" w:eastAsia="新宋体" w:cs="新宋体"/>
        </w:rPr>
      </w:pPr>
      <w:bookmarkStart w:id="61" w:name="_Toc339291784"/>
      <w:bookmarkStart w:id="62" w:name="_Toc339292076"/>
      <w:r>
        <w:rPr>
          <w:rFonts w:hint="eastAsia" w:ascii="新宋体" w:hAnsi="新宋体" w:eastAsia="新宋体" w:cs="新宋体"/>
        </w:rPr>
        <w:t>15.响应文件书写及签名、盖章要求</w:t>
      </w:r>
      <w:bookmarkEnd w:id="61"/>
      <w:bookmarkEnd w:id="62"/>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15.1响应文件正本须用不褪色的墨水工整书写或打印，修改处应由法定代表人或委托代理人签名和盖公章，否则其竞标无效。</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15.2字迹潦草、表达不清或未按要求填写的响应文件可能将被认定为无效的竞标。</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15.3响应文件应由法定代表人或委托代理人在凡规定签章处逐一签名和盖公章，否则其竞标无效。</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15.4响应文件的份数：正本一份，副本三份，共四份。并在每份文件右上角注明“正本”、“副本”字样，一旦正本和副本不符，以正本为准。</w:t>
      </w:r>
    </w:p>
    <w:p>
      <w:pPr>
        <w:pStyle w:val="6"/>
        <w:rPr>
          <w:rFonts w:hint="eastAsia" w:ascii="新宋体" w:hAnsi="新宋体" w:eastAsia="新宋体" w:cs="新宋体"/>
        </w:rPr>
      </w:pPr>
      <w:bookmarkStart w:id="63" w:name="_Toc339292077"/>
      <w:bookmarkStart w:id="64" w:name="_Toc339291785"/>
      <w:r>
        <w:rPr>
          <w:rFonts w:hint="eastAsia" w:ascii="新宋体" w:hAnsi="新宋体" w:eastAsia="新宋体" w:cs="新宋体"/>
        </w:rPr>
        <w:t>16.竞标保证金</w:t>
      </w:r>
      <w:bookmarkEnd w:id="63"/>
      <w:bookmarkEnd w:id="64"/>
    </w:p>
    <w:p>
      <w:pPr>
        <w:pStyle w:val="11"/>
        <w:shd w:val="clear" w:fill="E7E6E6" w:themeFill="background2"/>
        <w:spacing w:line="420" w:lineRule="exact"/>
        <w:ind w:firstLine="420"/>
        <w:rPr>
          <w:rFonts w:hint="eastAsia" w:ascii="新宋体" w:hAnsi="新宋体" w:eastAsia="新宋体" w:cs="新宋体"/>
          <w:spacing w:val="-4"/>
          <w:u w:val="single"/>
        </w:rPr>
      </w:pPr>
      <w:r>
        <w:rPr>
          <w:rFonts w:hint="eastAsia" w:ascii="新宋体" w:hAnsi="新宋体" w:eastAsia="新宋体" w:cs="新宋体"/>
          <w:spacing w:val="-4"/>
        </w:rPr>
        <w:t>16.1竞标保证金数额（人民币）</w:t>
      </w:r>
      <w:r>
        <w:rPr>
          <w:rFonts w:hint="eastAsia" w:ascii="新宋体" w:hAnsi="新宋体" w:eastAsia="新宋体" w:cs="新宋体"/>
          <w:color w:val="auto"/>
          <w:spacing w:val="-4"/>
          <w:u w:val="single"/>
          <w:lang w:eastAsia="zh-CN"/>
        </w:rPr>
        <w:t>伍仟元整</w:t>
      </w:r>
      <w:r>
        <w:rPr>
          <w:rFonts w:hint="eastAsia" w:ascii="新宋体" w:hAnsi="新宋体" w:eastAsia="新宋体" w:cs="新宋体"/>
          <w:color w:val="auto"/>
          <w:spacing w:val="-4"/>
          <w:u w:val="single"/>
        </w:rPr>
        <w:t>（</w:t>
      </w:r>
      <w:r>
        <w:rPr>
          <w:rFonts w:hint="eastAsia" w:ascii="新宋体" w:hAnsi="新宋体" w:eastAsia="新宋体" w:cs="新宋体"/>
          <w:color w:val="auto"/>
          <w:spacing w:val="-4"/>
          <w:sz w:val="24"/>
          <w:u w:val="single"/>
        </w:rPr>
        <w:t>¥</w:t>
      </w:r>
      <w:r>
        <w:rPr>
          <w:rFonts w:hint="eastAsia" w:ascii="新宋体" w:hAnsi="新宋体" w:eastAsia="新宋体" w:cs="新宋体"/>
          <w:color w:val="auto"/>
          <w:sz w:val="24"/>
          <w:u w:val="single"/>
          <w:lang w:val="en-US" w:eastAsia="zh-CN"/>
        </w:rPr>
        <w:t>5000</w:t>
      </w:r>
      <w:r>
        <w:rPr>
          <w:rFonts w:hint="eastAsia" w:ascii="新宋体" w:hAnsi="新宋体" w:eastAsia="新宋体" w:cs="新宋体"/>
          <w:color w:val="auto"/>
          <w:sz w:val="24"/>
          <w:u w:val="single"/>
        </w:rPr>
        <w:t>.00</w:t>
      </w:r>
      <w:r>
        <w:rPr>
          <w:rFonts w:hint="eastAsia" w:ascii="新宋体" w:hAnsi="新宋体" w:eastAsia="新宋体" w:cs="新宋体"/>
          <w:color w:val="auto"/>
          <w:spacing w:val="-4"/>
          <w:u w:val="single"/>
        </w:rPr>
        <w:t>元）。</w:t>
      </w:r>
    </w:p>
    <w:p>
      <w:pPr>
        <w:spacing w:line="440" w:lineRule="exact"/>
        <w:ind w:firstLine="420" w:firstLineChars="200"/>
        <w:rPr>
          <w:rFonts w:hint="eastAsia" w:ascii="新宋体" w:hAnsi="新宋体" w:eastAsia="新宋体" w:cs="新宋体"/>
          <w:color w:val="000000" w:themeColor="text1"/>
          <w:szCs w:val="21"/>
          <w:shd w:val="clear" w:fill="E7E6E6" w:themeFill="background2"/>
        </w:rPr>
      </w:pPr>
      <w:r>
        <w:rPr>
          <w:rFonts w:hint="eastAsia" w:ascii="新宋体" w:hAnsi="新宋体" w:eastAsia="新宋体" w:cs="新宋体"/>
        </w:rPr>
        <w:t>16.2缴纳方式：转帐、电汇、现金缴存银行、银行汇票等，由竞标人按本须知第28条中明确的开户名称、开户银行、帐号，于竞标截止前交到</w:t>
      </w:r>
      <w:r>
        <w:rPr>
          <w:rFonts w:hint="eastAsia" w:ascii="新宋体" w:hAnsi="新宋体" w:eastAsia="新宋体" w:cs="新宋体"/>
          <w:color w:val="000000" w:themeColor="text1"/>
          <w:szCs w:val="21"/>
        </w:rPr>
        <w:t>广西祥立工程咨询有限责任公司</w:t>
      </w:r>
      <w:r>
        <w:rPr>
          <w:rFonts w:hint="eastAsia" w:ascii="新宋体" w:hAnsi="新宋体" w:eastAsia="新宋体" w:cs="新宋体"/>
        </w:rPr>
        <w:t>帐户上，并于截标前凭缴纳证明到</w:t>
      </w:r>
      <w:r>
        <w:rPr>
          <w:rFonts w:hint="eastAsia" w:ascii="新宋体" w:hAnsi="新宋体" w:eastAsia="新宋体" w:cs="新宋体"/>
          <w:color w:val="000000" w:themeColor="text1"/>
          <w:szCs w:val="21"/>
        </w:rPr>
        <w:t>广西祥立工程咨询有限责任公司</w:t>
      </w:r>
      <w:r>
        <w:rPr>
          <w:rFonts w:hint="eastAsia" w:ascii="新宋体" w:hAnsi="新宋体" w:eastAsia="新宋体" w:cs="新宋体"/>
        </w:rPr>
        <w:t>换取收据。交现金的竞标人请自行将现金存入</w:t>
      </w:r>
      <w:r>
        <w:rPr>
          <w:rFonts w:hint="eastAsia" w:ascii="新宋体" w:hAnsi="新宋体" w:eastAsia="新宋体" w:cs="新宋体"/>
          <w:color w:val="000000" w:themeColor="text1"/>
          <w:szCs w:val="21"/>
        </w:rPr>
        <w:t>广西祥立工程咨询有限责任公司</w:t>
      </w:r>
      <w:r>
        <w:rPr>
          <w:rFonts w:hint="eastAsia" w:ascii="新宋体" w:hAnsi="新宋体" w:eastAsia="新宋体" w:cs="新宋体"/>
        </w:rPr>
        <w:t>帐户上（按本须知第28条中明确的开户名称、帐号、开户银行交纳），并于截标前凭银行现金交款单到</w:t>
      </w:r>
      <w:r>
        <w:rPr>
          <w:rFonts w:hint="eastAsia" w:ascii="新宋体" w:hAnsi="新宋体" w:eastAsia="新宋体" w:cs="新宋体"/>
          <w:color w:val="000000" w:themeColor="text1"/>
          <w:szCs w:val="21"/>
        </w:rPr>
        <w:t>广西祥立工程咨询有限责任公司</w:t>
      </w:r>
      <w:r>
        <w:rPr>
          <w:rFonts w:hint="eastAsia" w:ascii="新宋体" w:hAnsi="新宋体" w:eastAsia="新宋体" w:cs="新宋体"/>
        </w:rPr>
        <w:t>换取收据，凭收据参加竞标。竞标保证</w:t>
      </w:r>
      <w:r>
        <w:rPr>
          <w:rFonts w:hint="eastAsia" w:ascii="新宋体" w:hAnsi="新宋体" w:eastAsia="新宋体" w:cs="新宋体"/>
          <w:szCs w:val="21"/>
        </w:rPr>
        <w:t>金交纳时间以到账时间为准，竞标人交纳保证金的截止时间必须是提交报价文件截止时间的前一</w:t>
      </w:r>
      <w:r>
        <w:rPr>
          <w:rFonts w:hint="eastAsia" w:ascii="新宋体" w:hAnsi="新宋体" w:eastAsia="新宋体" w:cs="新宋体"/>
          <w:szCs w:val="21"/>
          <w:shd w:val="clear" w:fill="E7E6E6" w:themeFill="background2"/>
        </w:rPr>
        <w:t>天到账</w:t>
      </w:r>
      <w:r>
        <w:rPr>
          <w:rFonts w:hint="eastAsia" w:ascii="新宋体" w:hAnsi="新宋体" w:eastAsia="新宋体" w:cs="新宋体"/>
          <w:color w:val="FF0000"/>
          <w:szCs w:val="21"/>
          <w:shd w:val="clear" w:fill="E7E6E6" w:themeFill="background2"/>
        </w:rPr>
        <w:t>（即</w:t>
      </w:r>
      <w:r>
        <w:rPr>
          <w:rFonts w:hint="eastAsia" w:ascii="新宋体" w:hAnsi="新宋体" w:eastAsia="新宋体" w:cs="新宋体"/>
          <w:color w:val="FF0000"/>
          <w:szCs w:val="21"/>
          <w:u w:val="single"/>
          <w:shd w:val="clear" w:fill="E7E6E6" w:themeFill="background2"/>
        </w:rPr>
        <w:t>201</w:t>
      </w:r>
      <w:r>
        <w:rPr>
          <w:rFonts w:hint="eastAsia" w:ascii="新宋体" w:hAnsi="新宋体" w:eastAsia="新宋体" w:cs="新宋体"/>
          <w:color w:val="FF0000"/>
          <w:szCs w:val="21"/>
          <w:u w:val="single"/>
          <w:shd w:val="clear" w:fill="E7E6E6" w:themeFill="background2"/>
          <w:lang w:val="en-US" w:eastAsia="zh-CN"/>
        </w:rPr>
        <w:t>9</w:t>
      </w:r>
      <w:r>
        <w:rPr>
          <w:rFonts w:hint="eastAsia" w:ascii="新宋体" w:hAnsi="新宋体" w:eastAsia="新宋体" w:cs="新宋体"/>
          <w:color w:val="FF0000"/>
          <w:szCs w:val="21"/>
          <w:shd w:val="clear" w:fill="E7E6E6" w:themeFill="background2"/>
        </w:rPr>
        <w:t>年</w:t>
      </w:r>
      <w:r>
        <w:rPr>
          <w:rFonts w:hint="eastAsia" w:ascii="新宋体" w:hAnsi="新宋体" w:eastAsia="新宋体" w:cs="新宋体"/>
          <w:color w:val="FF0000"/>
          <w:szCs w:val="21"/>
          <w:u w:val="single"/>
          <w:shd w:val="clear" w:fill="E7E6E6" w:themeFill="background2"/>
          <w:lang w:val="en-US" w:eastAsia="zh-CN"/>
        </w:rPr>
        <w:t>12</w:t>
      </w:r>
      <w:r>
        <w:rPr>
          <w:rFonts w:hint="eastAsia" w:ascii="新宋体" w:hAnsi="新宋体" w:eastAsia="新宋体" w:cs="新宋体"/>
          <w:color w:val="FF0000"/>
          <w:szCs w:val="21"/>
          <w:shd w:val="clear" w:fill="E7E6E6" w:themeFill="background2"/>
        </w:rPr>
        <w:t>月</w:t>
      </w:r>
      <w:r>
        <w:rPr>
          <w:rFonts w:hint="eastAsia" w:ascii="新宋体" w:hAnsi="新宋体" w:eastAsia="新宋体" w:cs="新宋体"/>
          <w:color w:val="FF0000"/>
          <w:szCs w:val="21"/>
          <w:u w:val="single"/>
          <w:shd w:val="clear" w:fill="E7E6E6" w:themeFill="background2"/>
          <w:lang w:val="en-US" w:eastAsia="zh-CN"/>
        </w:rPr>
        <w:t>19</w:t>
      </w:r>
      <w:r>
        <w:rPr>
          <w:rFonts w:hint="eastAsia" w:ascii="新宋体" w:hAnsi="新宋体" w:eastAsia="新宋体" w:cs="新宋体"/>
          <w:color w:val="FF0000"/>
          <w:szCs w:val="21"/>
          <w:shd w:val="clear" w:fill="E7E6E6" w:themeFill="background2"/>
        </w:rPr>
        <w:t>日</w:t>
      </w:r>
      <w:r>
        <w:rPr>
          <w:rFonts w:hint="eastAsia" w:ascii="新宋体" w:hAnsi="新宋体" w:eastAsia="新宋体" w:cs="新宋体"/>
          <w:color w:val="FF0000"/>
          <w:szCs w:val="21"/>
          <w:u w:val="single"/>
          <w:shd w:val="clear" w:fill="E7E6E6" w:themeFill="background2"/>
        </w:rPr>
        <w:t xml:space="preserve"> 17 </w:t>
      </w:r>
      <w:r>
        <w:rPr>
          <w:rFonts w:hint="eastAsia" w:ascii="新宋体" w:hAnsi="新宋体" w:eastAsia="新宋体" w:cs="新宋体"/>
          <w:color w:val="FF0000"/>
          <w:szCs w:val="21"/>
          <w:shd w:val="clear" w:fill="E7E6E6" w:themeFill="background2"/>
        </w:rPr>
        <w:t>时</w:t>
      </w:r>
      <w:r>
        <w:rPr>
          <w:rFonts w:hint="eastAsia" w:ascii="新宋体" w:hAnsi="新宋体" w:eastAsia="新宋体" w:cs="新宋体"/>
          <w:color w:val="FF0000"/>
          <w:szCs w:val="21"/>
          <w:u w:val="single"/>
          <w:shd w:val="clear" w:fill="E7E6E6" w:themeFill="background2"/>
        </w:rPr>
        <w:t xml:space="preserve"> 00 </w:t>
      </w:r>
      <w:r>
        <w:rPr>
          <w:rFonts w:hint="eastAsia" w:ascii="新宋体" w:hAnsi="新宋体" w:eastAsia="新宋体" w:cs="新宋体"/>
          <w:color w:val="FF0000"/>
          <w:szCs w:val="21"/>
          <w:shd w:val="clear" w:fill="E7E6E6" w:themeFill="background2"/>
        </w:rPr>
        <w:t>分前</w:t>
      </w:r>
      <w:r>
        <w:rPr>
          <w:rFonts w:hint="eastAsia" w:ascii="新宋体" w:hAnsi="新宋体" w:eastAsia="新宋体" w:cs="新宋体"/>
          <w:szCs w:val="21"/>
          <w:shd w:val="clear" w:fill="E7E6E6" w:themeFill="background2"/>
        </w:rPr>
        <w:t>）。未按本规定交纳竞标保证金的响应文件无效</w:t>
      </w:r>
      <w:r>
        <w:rPr>
          <w:rFonts w:hint="eastAsia" w:ascii="新宋体" w:hAnsi="新宋体" w:eastAsia="新宋体" w:cs="新宋体"/>
          <w:shd w:val="clear" w:fill="E7E6E6" w:themeFill="background2"/>
        </w:rPr>
        <w:t>。</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16.3办理竞标保证金手续时，请务必在银行进帐单或电汇单的用途或空白栏上注明竞标项目名称及竞标编号，以免耽误竞标。</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16.4本竞标不接受银行保函形式的竞标保证金。</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16.5对未按谈判采购文件要求缴纳竞标保证金的响应文件，采购代理机构将视其为不响应竞标条件而予以拒绝。</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16.6竞标人的竞标保证金将在成交通知书发出后5个工作日内予以退还，不计利息。未成交人的竞标保证金在成交通知书发出后5个工作日内退还，在退还竞标保证金时，竞标必须由法定代表人或授权委托代理人（持授权委托书原件）携带本人身份证、申请退还竞标保证金的函（格式详见附件）、银行转账底单复印件前来办理。成交供应商收到成交通知书后，应按成交通知书中规定的时间、地点与买方签订合同，成交人的竞标保证金在合同签订后5天内退还。（退保证金同时附上合同原件一份给采购代理机构及保证金退付申请函）（保证金退付申请函格式详见附件）</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16.7竞标人有下列情形之一的，竞标保证金将不予退还：</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（1）竞标人在报价有效期内撤回报价文件的；</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（2）竞标人在报价过程中弄虚作假，提供虚假材料的；</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（3）成交供应商无正当理由不与采购人签订合同的；</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（4）将成交项目转让给他人或者在报价文件中未说明且未经采购单位同意，将成交项目分包给他人的；</w:t>
      </w:r>
    </w:p>
    <w:p>
      <w:pPr>
        <w:pStyle w:val="11"/>
        <w:spacing w:line="420" w:lineRule="exact"/>
        <w:ind w:firstLine="420"/>
        <w:rPr>
          <w:rFonts w:hint="eastAsia" w:ascii="新宋体" w:hAnsi="新宋体" w:eastAsia="新宋体" w:cs="新宋体"/>
          <w:b/>
        </w:rPr>
      </w:pPr>
      <w:r>
        <w:rPr>
          <w:rFonts w:hint="eastAsia" w:ascii="新宋体" w:hAnsi="新宋体" w:eastAsia="新宋体" w:cs="新宋体"/>
        </w:rPr>
        <w:t>（5）拒绝履行合同义务的、其他严重扰乱政府采购程序的；</w:t>
      </w:r>
    </w:p>
    <w:p>
      <w:pPr>
        <w:pStyle w:val="5"/>
        <w:rPr>
          <w:rFonts w:hint="eastAsia" w:ascii="新宋体" w:hAnsi="新宋体" w:eastAsia="新宋体" w:cs="新宋体"/>
        </w:rPr>
      </w:pPr>
      <w:bookmarkStart w:id="65" w:name="_Toc339291786"/>
      <w:bookmarkStart w:id="66" w:name="_Toc5099"/>
      <w:bookmarkStart w:id="67" w:name="_Toc21383"/>
      <w:bookmarkStart w:id="68" w:name="_Toc339292078"/>
      <w:r>
        <w:rPr>
          <w:rFonts w:hint="eastAsia" w:ascii="新宋体" w:hAnsi="新宋体" w:eastAsia="新宋体" w:cs="新宋体"/>
        </w:rPr>
        <w:t>四、响应文件的递交</w:t>
      </w:r>
      <w:bookmarkEnd w:id="65"/>
      <w:bookmarkEnd w:id="66"/>
      <w:bookmarkEnd w:id="67"/>
      <w:bookmarkEnd w:id="68"/>
    </w:p>
    <w:p>
      <w:pPr>
        <w:pStyle w:val="6"/>
        <w:rPr>
          <w:rFonts w:hint="eastAsia" w:ascii="新宋体" w:hAnsi="新宋体" w:eastAsia="新宋体" w:cs="新宋体"/>
        </w:rPr>
      </w:pPr>
      <w:bookmarkStart w:id="69" w:name="_Toc339291787"/>
      <w:bookmarkStart w:id="70" w:name="_Toc339292079"/>
      <w:r>
        <w:rPr>
          <w:rFonts w:hint="eastAsia" w:ascii="新宋体" w:hAnsi="新宋体" w:eastAsia="新宋体" w:cs="新宋体"/>
        </w:rPr>
        <w:t>17.响应文件的密封与标记</w:t>
      </w:r>
      <w:bookmarkEnd w:id="69"/>
      <w:bookmarkEnd w:id="70"/>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17.1竞标人应将响应文件正、副本一并装订成册，以及填写项目名称、竞标编号、竞标人名称等内容。</w:t>
      </w:r>
    </w:p>
    <w:p>
      <w:pPr>
        <w:pStyle w:val="11"/>
        <w:spacing w:line="420" w:lineRule="exact"/>
        <w:ind w:firstLine="420"/>
        <w:rPr>
          <w:rFonts w:hint="eastAsia" w:ascii="新宋体" w:hAnsi="新宋体" w:eastAsia="新宋体" w:cs="新宋体"/>
          <w:color w:val="FF0000"/>
        </w:rPr>
      </w:pPr>
      <w:r>
        <w:rPr>
          <w:rFonts w:hint="eastAsia" w:ascii="新宋体" w:hAnsi="新宋体" w:eastAsia="新宋体" w:cs="新宋体"/>
        </w:rPr>
        <w:t>17.2竞标人应将正、副本响应文件（正本一份、副本三份）一并装入响应文件袋中加以密封（</w:t>
      </w:r>
      <w:r>
        <w:rPr>
          <w:rFonts w:hint="eastAsia" w:ascii="新宋体" w:hAnsi="新宋体" w:eastAsia="新宋体" w:cs="新宋体"/>
          <w:b/>
          <w:bCs/>
        </w:rPr>
        <w:t>竞标人应尽量将全部响应文件装入一个响应文件袋中</w:t>
      </w:r>
      <w:r>
        <w:rPr>
          <w:rFonts w:hint="eastAsia" w:ascii="新宋体" w:hAnsi="新宋体" w:eastAsia="新宋体" w:cs="新宋体"/>
        </w:rPr>
        <w:t>），并在每一封贴处密封签章（公章、密封章、法定代表人、负责人或其委托代理人签字均可）。</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17.3</w:t>
      </w:r>
      <w:r>
        <w:rPr>
          <w:rFonts w:hint="eastAsia" w:ascii="新宋体" w:hAnsi="新宋体" w:eastAsia="新宋体" w:cs="新宋体"/>
          <w:b/>
        </w:rPr>
        <w:t>响应文件的密封以响应文件袋无明显缝隙露出袋内文件且封口处有密封签章为合格</w:t>
      </w:r>
      <w:r>
        <w:rPr>
          <w:rFonts w:hint="eastAsia" w:ascii="新宋体" w:hAnsi="新宋体" w:eastAsia="新宋体" w:cs="新宋体"/>
        </w:rPr>
        <w:t>。</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17.4竞标人自行制作文件袋，但所制作的文件袋封面文字内容应与第17.5款所要求的文件袋封面内容一致。</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17.5各文件袋上都应写明：</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⑴ 采购代理机构：</w:t>
      </w:r>
    </w:p>
    <w:p>
      <w:pPr>
        <w:pStyle w:val="11"/>
        <w:spacing w:line="420" w:lineRule="exact"/>
        <w:ind w:firstLine="420"/>
        <w:rPr>
          <w:rFonts w:hint="eastAsia" w:ascii="新宋体" w:hAnsi="新宋体" w:eastAsia="新宋体" w:cs="新宋体"/>
          <w:u w:val="single"/>
        </w:rPr>
      </w:pPr>
      <w:r>
        <w:rPr>
          <w:rFonts w:hint="eastAsia" w:ascii="新宋体" w:hAnsi="新宋体" w:eastAsia="新宋体" w:cs="新宋体"/>
        </w:rPr>
        <w:t>⑵ 项目名称：</w:t>
      </w:r>
    </w:p>
    <w:p>
      <w:pPr>
        <w:pStyle w:val="11"/>
        <w:spacing w:line="420" w:lineRule="exact"/>
        <w:ind w:firstLine="420"/>
        <w:rPr>
          <w:rFonts w:hint="eastAsia" w:ascii="新宋体" w:hAnsi="新宋体" w:eastAsia="新宋体" w:cs="新宋体"/>
          <w:u w:val="single"/>
        </w:rPr>
      </w:pPr>
      <w:r>
        <w:rPr>
          <w:rFonts w:hint="eastAsia" w:ascii="新宋体" w:hAnsi="新宋体" w:eastAsia="新宋体" w:cs="新宋体"/>
        </w:rPr>
        <w:t>⑶ 项目编号：</w:t>
      </w:r>
    </w:p>
    <w:p>
      <w:pPr>
        <w:pStyle w:val="11"/>
        <w:spacing w:line="420" w:lineRule="exact"/>
        <w:ind w:firstLine="420"/>
        <w:rPr>
          <w:rFonts w:hint="eastAsia" w:ascii="新宋体" w:hAnsi="新宋体" w:eastAsia="新宋体" w:cs="新宋体"/>
          <w:u w:val="single"/>
        </w:rPr>
      </w:pPr>
      <w:r>
        <w:rPr>
          <w:rFonts w:hint="eastAsia" w:ascii="新宋体" w:hAnsi="新宋体" w:eastAsia="新宋体" w:cs="新宋体"/>
        </w:rPr>
        <w:t xml:space="preserve">⑷ 竞标单位： </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⑸ 注明“截标时才能启封”</w:t>
      </w:r>
    </w:p>
    <w:p>
      <w:pPr>
        <w:pStyle w:val="11"/>
        <w:spacing w:line="420" w:lineRule="exact"/>
        <w:ind w:firstLine="420"/>
        <w:rPr>
          <w:rFonts w:hint="eastAsia" w:ascii="新宋体" w:hAnsi="新宋体" w:eastAsia="新宋体" w:cs="新宋体"/>
          <w:color w:val="000000" w:themeColor="text1"/>
        </w:rPr>
      </w:pPr>
      <w:r>
        <w:rPr>
          <w:rFonts w:hint="eastAsia" w:ascii="新宋体" w:hAnsi="新宋体" w:eastAsia="新宋体" w:cs="新宋体"/>
        </w:rPr>
        <w:t>17.6竞标人在递交响应文件时，未按本须知要求密封、标记的，</w:t>
      </w:r>
      <w:r>
        <w:rPr>
          <w:rFonts w:hint="eastAsia" w:ascii="新宋体" w:hAnsi="新宋体" w:eastAsia="新宋体" w:cs="新宋体"/>
          <w:color w:val="000000" w:themeColor="text1"/>
        </w:rPr>
        <w:t>广西祥立工程咨询有限责任公司有权拒收。</w:t>
      </w:r>
    </w:p>
    <w:p>
      <w:pPr>
        <w:pStyle w:val="6"/>
        <w:rPr>
          <w:rFonts w:hint="eastAsia" w:ascii="新宋体" w:hAnsi="新宋体" w:eastAsia="新宋体" w:cs="新宋体"/>
        </w:rPr>
      </w:pPr>
      <w:bookmarkStart w:id="71" w:name="_Toc339292080"/>
      <w:bookmarkStart w:id="72" w:name="_Toc339291788"/>
      <w:r>
        <w:rPr>
          <w:rFonts w:hint="eastAsia" w:ascii="新宋体" w:hAnsi="新宋体" w:eastAsia="新宋体" w:cs="新宋体"/>
        </w:rPr>
        <w:t>18.竞标截止时间</w:t>
      </w:r>
      <w:bookmarkEnd w:id="71"/>
      <w:bookmarkEnd w:id="72"/>
    </w:p>
    <w:p>
      <w:pPr>
        <w:pStyle w:val="11"/>
        <w:tabs>
          <w:tab w:val="left" w:pos="1957"/>
        </w:tabs>
        <w:spacing w:line="420" w:lineRule="exact"/>
        <w:ind w:firstLine="420"/>
        <w:rPr>
          <w:rFonts w:hint="eastAsia" w:ascii="新宋体" w:hAnsi="新宋体" w:eastAsia="新宋体" w:cs="新宋体"/>
          <w:spacing w:val="-4"/>
        </w:rPr>
      </w:pPr>
      <w:r>
        <w:rPr>
          <w:rFonts w:hint="eastAsia" w:ascii="新宋体" w:hAnsi="新宋体" w:eastAsia="新宋体" w:cs="新宋体"/>
        </w:rPr>
        <w:t>18.1</w:t>
      </w:r>
      <w:r>
        <w:rPr>
          <w:rFonts w:hint="eastAsia" w:ascii="新宋体" w:hAnsi="新宋体" w:eastAsia="新宋体" w:cs="新宋体"/>
          <w:spacing w:val="-4"/>
        </w:rPr>
        <w:t>响应文件的递交不得迟于本须知</w:t>
      </w:r>
      <w:r>
        <w:rPr>
          <w:rFonts w:hint="eastAsia" w:ascii="新宋体" w:hAnsi="新宋体" w:eastAsia="新宋体" w:cs="新宋体"/>
          <w:spacing w:val="-4"/>
          <w:u w:val="single"/>
        </w:rPr>
        <w:t>前附表第7项</w:t>
      </w:r>
      <w:r>
        <w:rPr>
          <w:rFonts w:hint="eastAsia" w:ascii="新宋体" w:hAnsi="新宋体" w:eastAsia="新宋体" w:cs="新宋体"/>
          <w:spacing w:val="-4"/>
        </w:rPr>
        <w:t>规定的截止时间。</w:t>
      </w:r>
    </w:p>
    <w:p>
      <w:pPr>
        <w:pStyle w:val="11"/>
        <w:spacing w:line="420" w:lineRule="exact"/>
        <w:ind w:firstLine="420"/>
        <w:rPr>
          <w:rFonts w:hint="eastAsia" w:ascii="新宋体" w:hAnsi="新宋体" w:eastAsia="新宋体" w:cs="新宋体"/>
          <w:b/>
        </w:rPr>
      </w:pPr>
      <w:r>
        <w:rPr>
          <w:rFonts w:hint="eastAsia" w:ascii="新宋体" w:hAnsi="新宋体" w:eastAsia="新宋体" w:cs="新宋体"/>
        </w:rPr>
        <w:t>18.2竞标人必须在规定时间内将响应文件送到本须知</w:t>
      </w:r>
      <w:r>
        <w:rPr>
          <w:rFonts w:hint="eastAsia" w:ascii="新宋体" w:hAnsi="新宋体" w:eastAsia="新宋体" w:cs="新宋体"/>
          <w:u w:val="single"/>
        </w:rPr>
        <w:t>前附表第7项</w:t>
      </w:r>
      <w:r>
        <w:rPr>
          <w:rFonts w:hint="eastAsia" w:ascii="新宋体" w:hAnsi="新宋体" w:eastAsia="新宋体" w:cs="新宋体"/>
        </w:rPr>
        <w:t>规定地点，超过竞标截止时间送达的响应文件为无效响应文件，</w:t>
      </w:r>
      <w:r>
        <w:rPr>
          <w:rFonts w:hint="eastAsia" w:ascii="新宋体" w:hAnsi="新宋体" w:eastAsia="新宋体" w:cs="新宋体"/>
          <w:spacing w:val="-4"/>
        </w:rPr>
        <w:t>采购代理机构</w:t>
      </w:r>
      <w:r>
        <w:rPr>
          <w:rFonts w:hint="eastAsia" w:ascii="新宋体" w:hAnsi="新宋体" w:eastAsia="新宋体" w:cs="新宋体"/>
        </w:rPr>
        <w:t>将拒收。</w:t>
      </w:r>
    </w:p>
    <w:p>
      <w:pPr>
        <w:pStyle w:val="5"/>
        <w:numPr>
          <w:ilvl w:val="0"/>
          <w:numId w:val="3"/>
        </w:numPr>
        <w:rPr>
          <w:rFonts w:hint="eastAsia" w:ascii="新宋体" w:hAnsi="新宋体" w:eastAsia="新宋体" w:cs="新宋体"/>
        </w:rPr>
      </w:pPr>
      <w:bookmarkStart w:id="73" w:name="_Toc13251"/>
      <w:bookmarkStart w:id="74" w:name="_Toc29582"/>
      <w:bookmarkStart w:id="75" w:name="_Toc339292081"/>
      <w:bookmarkStart w:id="76" w:name="_Toc339291789"/>
      <w:r>
        <w:rPr>
          <w:rFonts w:hint="eastAsia" w:ascii="新宋体" w:hAnsi="新宋体" w:eastAsia="新宋体" w:cs="新宋体"/>
        </w:rPr>
        <w:t>谈判与评标</w:t>
      </w:r>
      <w:bookmarkEnd w:id="73"/>
      <w:bookmarkEnd w:id="74"/>
      <w:bookmarkEnd w:id="75"/>
      <w:bookmarkEnd w:id="76"/>
    </w:p>
    <w:p>
      <w:pPr>
        <w:pStyle w:val="6"/>
        <w:numPr>
          <w:ilvl w:val="0"/>
          <w:numId w:val="0"/>
        </w:numPr>
        <w:rPr>
          <w:rFonts w:hint="eastAsia" w:ascii="新宋体" w:hAnsi="新宋体" w:eastAsia="新宋体" w:cs="新宋体"/>
        </w:rPr>
      </w:pPr>
      <w:r>
        <w:rPr>
          <w:rFonts w:hint="eastAsia" w:ascii="新宋体" w:hAnsi="新宋体" w:eastAsia="新宋体" w:cs="新宋体"/>
        </w:rPr>
        <w:t>19. 谈判</w:t>
      </w:r>
    </w:p>
    <w:p>
      <w:pPr>
        <w:spacing w:line="440" w:lineRule="exact"/>
        <w:rPr>
          <w:rFonts w:hint="eastAsia" w:ascii="新宋体" w:hAnsi="新宋体" w:eastAsia="新宋体" w:cs="新宋体"/>
          <w:color w:val="000000" w:themeColor="text1"/>
          <w:szCs w:val="21"/>
        </w:rPr>
      </w:pPr>
      <w:r>
        <w:rPr>
          <w:rFonts w:hint="eastAsia" w:ascii="新宋体" w:hAnsi="新宋体" w:eastAsia="新宋体" w:cs="新宋体"/>
          <w:b/>
          <w:szCs w:val="20"/>
        </w:rPr>
        <w:t>19.1</w:t>
      </w:r>
      <w:r>
        <w:rPr>
          <w:rFonts w:hint="eastAsia" w:ascii="新宋体" w:hAnsi="新宋体" w:eastAsia="新宋体" w:cs="新宋体"/>
          <w:b/>
          <w:szCs w:val="20"/>
          <w:shd w:val="clear" w:fill="E7E6E6" w:themeFill="background2"/>
        </w:rPr>
        <w:t>谈判时间及地点：</w:t>
      </w:r>
      <w:r>
        <w:rPr>
          <w:rFonts w:hint="eastAsia" w:ascii="新宋体" w:hAnsi="新宋体" w:eastAsia="新宋体" w:cs="新宋体"/>
          <w:b/>
          <w:color w:val="FF0000"/>
          <w:szCs w:val="20"/>
          <w:shd w:val="clear" w:fill="E7E6E6" w:themeFill="background2"/>
        </w:rPr>
        <w:t xml:space="preserve"> </w:t>
      </w:r>
      <w:r>
        <w:rPr>
          <w:rFonts w:hint="eastAsia" w:ascii="新宋体" w:hAnsi="新宋体" w:eastAsia="新宋体" w:cs="新宋体"/>
          <w:b/>
          <w:color w:val="auto"/>
          <w:szCs w:val="20"/>
          <w:u w:val="single"/>
          <w:shd w:val="clear" w:fill="E7E6E6" w:themeFill="background2"/>
        </w:rPr>
        <w:t>201</w:t>
      </w:r>
      <w:r>
        <w:rPr>
          <w:rFonts w:hint="eastAsia" w:ascii="新宋体" w:hAnsi="新宋体" w:eastAsia="新宋体" w:cs="新宋体"/>
          <w:b/>
          <w:color w:val="auto"/>
          <w:szCs w:val="20"/>
          <w:u w:val="single"/>
          <w:shd w:val="clear" w:fill="E7E6E6" w:themeFill="background2"/>
          <w:lang w:val="en-US" w:eastAsia="zh-CN"/>
        </w:rPr>
        <w:t>9</w:t>
      </w:r>
      <w:r>
        <w:rPr>
          <w:rFonts w:hint="eastAsia" w:ascii="新宋体" w:hAnsi="新宋体" w:eastAsia="新宋体" w:cs="新宋体"/>
          <w:b/>
          <w:color w:val="auto"/>
          <w:szCs w:val="20"/>
          <w:u w:val="single"/>
          <w:shd w:val="clear" w:fill="E7E6E6" w:themeFill="background2"/>
        </w:rPr>
        <w:t>年</w:t>
      </w:r>
      <w:r>
        <w:rPr>
          <w:rFonts w:hint="eastAsia" w:ascii="新宋体" w:hAnsi="新宋体" w:eastAsia="新宋体" w:cs="新宋体"/>
          <w:b/>
          <w:color w:val="auto"/>
          <w:szCs w:val="20"/>
          <w:u w:val="single"/>
          <w:shd w:val="clear" w:fill="E7E6E6" w:themeFill="background2"/>
          <w:lang w:val="en-US" w:eastAsia="zh-CN"/>
        </w:rPr>
        <w:t>12</w:t>
      </w:r>
      <w:r>
        <w:rPr>
          <w:rFonts w:hint="eastAsia" w:ascii="新宋体" w:hAnsi="新宋体" w:eastAsia="新宋体" w:cs="新宋体"/>
          <w:b/>
          <w:color w:val="auto"/>
          <w:szCs w:val="20"/>
          <w:u w:val="single"/>
          <w:shd w:val="clear" w:fill="E7E6E6" w:themeFill="background2"/>
        </w:rPr>
        <w:t>月2</w:t>
      </w:r>
      <w:r>
        <w:rPr>
          <w:rFonts w:hint="eastAsia" w:ascii="新宋体" w:hAnsi="新宋体" w:eastAsia="新宋体" w:cs="新宋体"/>
          <w:b/>
          <w:color w:val="auto"/>
          <w:szCs w:val="20"/>
          <w:u w:val="single"/>
          <w:shd w:val="clear" w:fill="E7E6E6" w:themeFill="background2"/>
          <w:lang w:val="en-US" w:eastAsia="zh-CN"/>
        </w:rPr>
        <w:t>0</w:t>
      </w:r>
      <w:r>
        <w:rPr>
          <w:rFonts w:hint="eastAsia" w:ascii="新宋体" w:hAnsi="新宋体" w:eastAsia="新宋体" w:cs="新宋体"/>
          <w:b/>
          <w:color w:val="auto"/>
          <w:szCs w:val="20"/>
          <w:u w:val="single"/>
          <w:shd w:val="clear" w:fill="E7E6E6" w:themeFill="background2"/>
        </w:rPr>
        <w:t>日下午</w:t>
      </w:r>
      <w:r>
        <w:rPr>
          <w:rFonts w:hint="eastAsia" w:ascii="新宋体" w:hAnsi="新宋体" w:eastAsia="新宋体" w:cs="新宋体"/>
          <w:b/>
          <w:color w:val="auto"/>
          <w:szCs w:val="20"/>
          <w:u w:val="single"/>
          <w:shd w:val="clear" w:fill="E7E6E6" w:themeFill="background2"/>
          <w:lang w:val="en-US" w:eastAsia="zh-CN"/>
        </w:rPr>
        <w:t>14</w:t>
      </w:r>
      <w:r>
        <w:rPr>
          <w:rFonts w:hint="eastAsia" w:ascii="新宋体" w:hAnsi="新宋体" w:eastAsia="新宋体" w:cs="新宋体"/>
          <w:b/>
          <w:color w:val="auto"/>
          <w:szCs w:val="20"/>
          <w:u w:val="single"/>
          <w:shd w:val="clear" w:fill="E7E6E6" w:themeFill="background2"/>
        </w:rPr>
        <w:t>时</w:t>
      </w:r>
      <w:r>
        <w:rPr>
          <w:rFonts w:hint="eastAsia" w:ascii="新宋体" w:hAnsi="新宋体" w:eastAsia="新宋体" w:cs="新宋体"/>
          <w:b/>
          <w:color w:val="auto"/>
          <w:szCs w:val="20"/>
          <w:u w:val="single"/>
          <w:shd w:val="clear" w:fill="E7E6E6" w:themeFill="background2"/>
          <w:lang w:val="en-US" w:eastAsia="zh-CN"/>
        </w:rPr>
        <w:t>3</w:t>
      </w:r>
      <w:r>
        <w:rPr>
          <w:rFonts w:hint="eastAsia" w:ascii="新宋体" w:hAnsi="新宋体" w:eastAsia="新宋体" w:cs="新宋体"/>
          <w:b/>
          <w:color w:val="auto"/>
          <w:szCs w:val="20"/>
          <w:u w:val="single"/>
          <w:shd w:val="clear" w:fill="E7E6E6" w:themeFill="background2"/>
        </w:rPr>
        <w:t>0分</w:t>
      </w:r>
      <w:r>
        <w:rPr>
          <w:rFonts w:hint="eastAsia" w:ascii="新宋体" w:hAnsi="新宋体" w:eastAsia="新宋体" w:cs="新宋体"/>
          <w:b/>
          <w:color w:val="auto"/>
          <w:szCs w:val="20"/>
          <w:shd w:val="clear" w:fill="E7E6E6" w:themeFill="background2"/>
        </w:rPr>
        <w:t>截标</w:t>
      </w:r>
      <w:r>
        <w:rPr>
          <w:rFonts w:hint="eastAsia" w:ascii="新宋体" w:hAnsi="新宋体" w:eastAsia="新宋体" w:cs="新宋体"/>
          <w:b/>
          <w:szCs w:val="20"/>
          <w:shd w:val="clear" w:fill="E7E6E6" w:themeFill="background2"/>
        </w:rPr>
        <w:t>后为与竞标人谈判时间，具体时间由采购代理机构另行通知。地点</w:t>
      </w:r>
      <w:r>
        <w:rPr>
          <w:rFonts w:hint="eastAsia" w:ascii="新宋体" w:hAnsi="新宋体" w:eastAsia="新宋体" w:cs="新宋体"/>
          <w:b/>
          <w:szCs w:val="20"/>
          <w:shd w:val="clear" w:fill="E7E6E6" w:themeFill="background2"/>
          <w:lang w:eastAsia="zh-CN"/>
        </w:rPr>
        <w:t>：</w:t>
      </w:r>
      <w:r>
        <w:rPr>
          <w:rFonts w:hint="eastAsia" w:ascii="新宋体" w:hAnsi="新宋体" w:eastAsia="新宋体" w:cs="新宋体"/>
          <w:b/>
          <w:bCs/>
          <w:i w:val="0"/>
          <w:caps w:val="0"/>
          <w:color w:val="auto"/>
          <w:spacing w:val="0"/>
          <w:sz w:val="24"/>
          <w:szCs w:val="24"/>
          <w:u w:val="single"/>
        </w:rPr>
        <w:t>广西祥立工程咨询有限责任公司钦州第一分公司灵山办事处（灵山县江南路国际汽车城6号楼2楼）</w:t>
      </w:r>
      <w:r>
        <w:rPr>
          <w:rFonts w:hint="eastAsia" w:ascii="新宋体" w:hAnsi="新宋体" w:eastAsia="新宋体" w:cs="新宋体"/>
          <w:b/>
          <w:szCs w:val="20"/>
        </w:rPr>
        <w:t>。</w:t>
      </w:r>
    </w:p>
    <w:p>
      <w:pPr>
        <w:widowControl/>
        <w:spacing w:line="360" w:lineRule="auto"/>
        <w:ind w:firstLine="420" w:firstLineChars="200"/>
        <w:jc w:val="left"/>
        <w:rPr>
          <w:rFonts w:hint="eastAsia" w:ascii="新宋体" w:hAnsi="新宋体" w:eastAsia="新宋体" w:cs="新宋体"/>
        </w:rPr>
      </w:pPr>
      <w:r>
        <w:rPr>
          <w:rFonts w:hint="eastAsia" w:ascii="新宋体" w:hAnsi="新宋体" w:eastAsia="新宋体" w:cs="新宋体"/>
        </w:rPr>
        <w:t>19.2本项目依据</w:t>
      </w:r>
      <w:r>
        <w:rPr>
          <w:rFonts w:hint="eastAsia" w:ascii="新宋体" w:hAnsi="新宋体" w:eastAsia="新宋体" w:cs="新宋体"/>
          <w:u w:val="single"/>
        </w:rPr>
        <w:t>《中华人民共和国政府采购法》</w:t>
      </w:r>
      <w:r>
        <w:rPr>
          <w:rFonts w:hint="eastAsia" w:ascii="新宋体" w:hAnsi="新宋体" w:eastAsia="新宋体" w:cs="新宋体"/>
        </w:rPr>
        <w:t>、</w:t>
      </w:r>
      <w:r>
        <w:rPr>
          <w:rFonts w:hint="eastAsia" w:ascii="新宋体" w:hAnsi="新宋体" w:eastAsia="新宋体" w:cs="新宋体"/>
          <w:u w:val="single"/>
        </w:rPr>
        <w:t>《中华人民共和国政府采购法实施条例》</w:t>
      </w:r>
      <w:r>
        <w:rPr>
          <w:rFonts w:hint="eastAsia" w:ascii="新宋体" w:hAnsi="新宋体" w:eastAsia="新宋体" w:cs="新宋体"/>
        </w:rPr>
        <w:t>、</w:t>
      </w:r>
      <w:r>
        <w:rPr>
          <w:rFonts w:hint="eastAsia" w:ascii="新宋体" w:hAnsi="新宋体" w:eastAsia="新宋体" w:cs="新宋体"/>
          <w:u w:val="single"/>
        </w:rPr>
        <w:t>《政府采购货物和服务招标竞标管理办法》</w:t>
      </w:r>
      <w:r>
        <w:rPr>
          <w:rFonts w:hint="eastAsia" w:ascii="新宋体" w:hAnsi="新宋体" w:eastAsia="新宋体" w:cs="新宋体"/>
        </w:rPr>
        <w:t>、</w:t>
      </w:r>
      <w:r>
        <w:rPr>
          <w:rFonts w:hint="eastAsia" w:ascii="新宋体" w:hAnsi="新宋体" w:eastAsia="新宋体" w:cs="新宋体"/>
          <w:u w:val="single"/>
        </w:rPr>
        <w:t>《政府采购非招标采购方式管理办法》</w:t>
      </w:r>
      <w:r>
        <w:rPr>
          <w:rFonts w:hint="eastAsia" w:ascii="新宋体" w:hAnsi="新宋体" w:eastAsia="新宋体" w:cs="新宋体"/>
        </w:rPr>
        <w:t>、</w:t>
      </w:r>
      <w:r>
        <w:rPr>
          <w:rFonts w:hint="eastAsia" w:ascii="新宋体" w:hAnsi="新宋体" w:eastAsia="新宋体" w:cs="新宋体"/>
          <w:u w:val="single"/>
        </w:rPr>
        <w:t>《政府采购促进中小企业发展暂行办法》(财库[2011]181号)</w:t>
      </w:r>
      <w:r>
        <w:rPr>
          <w:rFonts w:hint="eastAsia" w:ascii="新宋体" w:hAnsi="新宋体" w:eastAsia="新宋体" w:cs="新宋体"/>
        </w:rPr>
        <w:t>等法律法规、政策的规定和竞争性谈判采购文件进行评标，谈判小组在所有报名参加本次谈判活动的供应商中</w:t>
      </w:r>
      <w:r>
        <w:rPr>
          <w:rFonts w:hint="eastAsia" w:ascii="新宋体" w:hAnsi="新宋体" w:eastAsia="新宋体" w:cs="新宋体"/>
          <w:color w:val="FF0000"/>
          <w:lang w:eastAsia="zh-CN"/>
        </w:rPr>
        <w:t>推荐</w:t>
      </w:r>
      <w:r>
        <w:rPr>
          <w:rFonts w:hint="eastAsia" w:ascii="新宋体" w:hAnsi="新宋体" w:eastAsia="新宋体" w:cs="新宋体"/>
          <w:color w:val="FF0000"/>
        </w:rPr>
        <w:t>3</w:t>
      </w:r>
      <w:r>
        <w:rPr>
          <w:rFonts w:hint="eastAsia" w:ascii="新宋体" w:hAnsi="新宋体" w:eastAsia="新宋体" w:cs="新宋体"/>
        </w:rPr>
        <w:t>家以上符合相应资格条件的供应商参加谈判。</w:t>
      </w:r>
    </w:p>
    <w:p>
      <w:pPr>
        <w:widowControl/>
        <w:spacing w:line="360" w:lineRule="auto"/>
        <w:ind w:firstLine="420" w:firstLineChars="200"/>
        <w:jc w:val="left"/>
        <w:rPr>
          <w:rFonts w:hint="eastAsia" w:ascii="新宋体" w:hAnsi="新宋体" w:eastAsia="新宋体" w:cs="新宋体"/>
        </w:rPr>
      </w:pPr>
      <w:r>
        <w:rPr>
          <w:rFonts w:hint="eastAsia" w:ascii="新宋体" w:hAnsi="新宋体" w:eastAsia="新宋体" w:cs="新宋体"/>
        </w:rPr>
        <w:t>19.3</w:t>
      </w:r>
      <w:r>
        <w:rPr>
          <w:rFonts w:hint="eastAsia" w:ascii="新宋体" w:hAnsi="新宋体" w:eastAsia="新宋体" w:cs="新宋体"/>
          <w:shd w:val="clear" w:fill="E7E6E6" w:themeFill="background2"/>
        </w:rPr>
        <w:t>谈判小组由三人以上的单数组成。</w:t>
      </w:r>
      <w:r>
        <w:rPr>
          <w:rFonts w:hint="eastAsia" w:ascii="新宋体" w:hAnsi="新宋体" w:eastAsia="新宋体" w:cs="新宋体"/>
          <w:color w:val="000000" w:themeColor="text1"/>
          <w:shd w:val="clear" w:fill="E7E6E6" w:themeFill="background2"/>
        </w:rPr>
        <w:t>采购代理机构根据本次谈判项目的特点依法组建谈判小组，谈判小组由</w:t>
      </w:r>
      <w:r>
        <w:rPr>
          <w:rFonts w:hint="eastAsia" w:ascii="新宋体" w:hAnsi="新宋体" w:eastAsia="新宋体" w:cs="新宋体"/>
          <w:color w:val="000000" w:themeColor="text1"/>
          <w:u w:val="single"/>
          <w:shd w:val="clear" w:fill="E7E6E6" w:themeFill="background2"/>
        </w:rPr>
        <w:t>3</w:t>
      </w:r>
      <w:r>
        <w:rPr>
          <w:rFonts w:hint="eastAsia" w:ascii="新宋体" w:hAnsi="新宋体" w:eastAsia="新宋体" w:cs="新宋体"/>
          <w:color w:val="000000" w:themeColor="text1"/>
          <w:shd w:val="clear" w:fill="E7E6E6" w:themeFill="background2"/>
        </w:rPr>
        <w:t>人组成，采购人代表</w:t>
      </w:r>
      <w:r>
        <w:rPr>
          <w:rFonts w:hint="eastAsia" w:ascii="新宋体" w:hAnsi="新宋体" w:eastAsia="新宋体" w:cs="新宋体"/>
          <w:color w:val="000000" w:themeColor="text1"/>
          <w:u w:val="single"/>
          <w:shd w:val="clear" w:fill="E7E6E6" w:themeFill="background2"/>
        </w:rPr>
        <w:t>1</w:t>
      </w:r>
      <w:r>
        <w:rPr>
          <w:rFonts w:hint="eastAsia" w:ascii="新宋体" w:hAnsi="新宋体" w:eastAsia="新宋体" w:cs="新宋体"/>
          <w:color w:val="000000" w:themeColor="text1"/>
          <w:shd w:val="clear" w:fill="E7E6E6" w:themeFill="background2"/>
        </w:rPr>
        <w:t>名，采购人代表由采购人指定，专家评委</w:t>
      </w:r>
      <w:r>
        <w:rPr>
          <w:rFonts w:hint="eastAsia" w:ascii="新宋体" w:hAnsi="新宋体" w:eastAsia="新宋体" w:cs="新宋体"/>
          <w:color w:val="000000" w:themeColor="text1"/>
          <w:u w:val="single"/>
          <w:shd w:val="clear" w:fill="E7E6E6" w:themeFill="background2"/>
        </w:rPr>
        <w:t>2</w:t>
      </w:r>
      <w:r>
        <w:rPr>
          <w:rFonts w:hint="eastAsia" w:ascii="新宋体" w:hAnsi="新宋体" w:eastAsia="新宋体" w:cs="新宋体"/>
          <w:color w:val="000000" w:themeColor="text1"/>
          <w:shd w:val="clear" w:fill="E7E6E6" w:themeFill="background2"/>
        </w:rPr>
        <w:t>名，</w:t>
      </w:r>
      <w:r>
        <w:rPr>
          <w:rFonts w:hint="eastAsia" w:ascii="新宋体" w:hAnsi="新宋体" w:eastAsia="新宋体" w:cs="新宋体"/>
          <w:color w:val="000000" w:themeColor="text1"/>
        </w:rPr>
        <w:t>专家评委从</w:t>
      </w:r>
      <w:r>
        <w:rPr>
          <w:rFonts w:hint="eastAsia" w:ascii="新宋体" w:hAnsi="新宋体" w:eastAsia="新宋体" w:cs="新宋体"/>
          <w:color w:val="FF0000"/>
        </w:rPr>
        <w:t>广西财政厅评审专家库中随机抽取</w:t>
      </w:r>
      <w:r>
        <w:rPr>
          <w:rFonts w:hint="eastAsia" w:ascii="新宋体" w:hAnsi="新宋体" w:eastAsia="新宋体" w:cs="新宋体"/>
          <w:color w:val="000000" w:themeColor="text1"/>
        </w:rPr>
        <w:t>，</w:t>
      </w:r>
      <w:r>
        <w:rPr>
          <w:rFonts w:hint="eastAsia" w:ascii="新宋体" w:hAnsi="新宋体" w:eastAsia="新宋体" w:cs="新宋体"/>
        </w:rPr>
        <w:t>在整个谈判过程中，谈判小组将负责对全部响应文件进行审查、谈判及评标工作。</w:t>
      </w:r>
      <w:r>
        <w:rPr>
          <w:rFonts w:hint="eastAsia" w:ascii="新宋体" w:hAnsi="新宋体" w:eastAsia="新宋体" w:cs="新宋体"/>
          <w:color w:val="000000" w:themeColor="text1"/>
          <w:szCs w:val="21"/>
        </w:rPr>
        <w:t>招标代理机构工作人员不得参加由本招标代理机构组织的政府采购项目的评审</w:t>
      </w:r>
      <w:r>
        <w:rPr>
          <w:rFonts w:hint="eastAsia" w:ascii="新宋体" w:hAnsi="新宋体" w:eastAsia="新宋体" w:cs="新宋体"/>
        </w:rPr>
        <w:t>。</w:t>
      </w:r>
    </w:p>
    <w:p>
      <w:pPr>
        <w:pStyle w:val="11"/>
        <w:spacing w:line="420" w:lineRule="exact"/>
        <w:ind w:firstLine="315" w:firstLineChars="150"/>
        <w:rPr>
          <w:rFonts w:hint="eastAsia" w:ascii="新宋体" w:hAnsi="新宋体" w:eastAsia="新宋体" w:cs="新宋体"/>
          <w:spacing w:val="-4"/>
        </w:rPr>
      </w:pPr>
      <w:r>
        <w:rPr>
          <w:rFonts w:hint="eastAsia" w:ascii="新宋体" w:hAnsi="新宋体" w:eastAsia="新宋体" w:cs="新宋体"/>
        </w:rPr>
        <w:t>19.4.</w:t>
      </w:r>
      <w:r>
        <w:rPr>
          <w:rFonts w:hint="eastAsia" w:ascii="新宋体" w:hAnsi="新宋体" w:eastAsia="新宋体" w:cs="新宋体"/>
          <w:spacing w:val="-4"/>
        </w:rPr>
        <w:t>采购代理机构将在竞标人须知</w:t>
      </w:r>
      <w:r>
        <w:rPr>
          <w:rFonts w:hint="eastAsia" w:ascii="新宋体" w:hAnsi="新宋体" w:eastAsia="新宋体" w:cs="新宋体"/>
          <w:spacing w:val="-4"/>
          <w:u w:val="single"/>
        </w:rPr>
        <w:t>前附表第8项</w:t>
      </w:r>
      <w:r>
        <w:rPr>
          <w:rFonts w:hint="eastAsia" w:ascii="新宋体" w:hAnsi="新宋体" w:eastAsia="新宋体" w:cs="新宋体"/>
          <w:spacing w:val="-4"/>
        </w:rPr>
        <w:t>规定的时间和地点组织谈判小组与各竞标人分别进行谈判。竞标人的法定代表人或其授权委托人必须持证件（法定代表人持本人身份证或授权委托人持授权委托书及本人身份证）携带竞标保证金交纳收据原件依时到达现场等候参加谈判，并自觉接受核验上述证件和资料。</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19.5竞标人可由1～3人组成参谈组，谈判中竞标人成员之间意见不一致时，以竞标人的法定代表人（或其委托代理人）的意见为准。</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19.6谈判的内容包括技术性条件、商务性条件以及谈判小组认为需要谈判的内容。当竞争性谈判采购文件有实质性变动的，谈判小组以书面形式通知所有参加谈判的竞标人。其中涉及价格的内容不得要求竞标人在谈判时作口头报价，而应以书面密封形式报价。</w:t>
      </w:r>
    </w:p>
    <w:p>
      <w:pPr>
        <w:pStyle w:val="11"/>
        <w:spacing w:line="420" w:lineRule="exact"/>
        <w:ind w:firstLine="420"/>
        <w:rPr>
          <w:rFonts w:hint="eastAsia" w:ascii="新宋体" w:hAnsi="新宋体" w:eastAsia="新宋体" w:cs="新宋体"/>
          <w:spacing w:val="-4"/>
        </w:rPr>
      </w:pPr>
      <w:r>
        <w:rPr>
          <w:rFonts w:hint="eastAsia" w:ascii="新宋体" w:hAnsi="新宋体" w:eastAsia="新宋体" w:cs="新宋体"/>
        </w:rPr>
        <w:t>19.7</w:t>
      </w:r>
      <w:r>
        <w:rPr>
          <w:rFonts w:hint="eastAsia" w:ascii="新宋体" w:hAnsi="新宋体" w:eastAsia="新宋体" w:cs="新宋体"/>
          <w:spacing w:val="-4"/>
        </w:rPr>
        <w:t>谈判内容应作记录，并由竞标人及谈判小组</w:t>
      </w:r>
      <w:r>
        <w:rPr>
          <w:rFonts w:hint="eastAsia" w:ascii="新宋体" w:hAnsi="新宋体" w:eastAsia="新宋体" w:cs="新宋体"/>
        </w:rPr>
        <w:t>成员</w:t>
      </w:r>
      <w:r>
        <w:rPr>
          <w:rFonts w:hint="eastAsia" w:ascii="新宋体" w:hAnsi="新宋体" w:eastAsia="新宋体" w:cs="新宋体"/>
          <w:spacing w:val="-4"/>
        </w:rPr>
        <w:t>签字确认。</w:t>
      </w:r>
    </w:p>
    <w:p>
      <w:pPr>
        <w:pStyle w:val="11"/>
        <w:spacing w:line="420" w:lineRule="exact"/>
        <w:ind w:firstLine="420"/>
        <w:rPr>
          <w:rFonts w:hint="eastAsia" w:ascii="新宋体" w:hAnsi="新宋体" w:eastAsia="新宋体" w:cs="新宋体"/>
          <w:spacing w:val="-4"/>
        </w:rPr>
      </w:pPr>
      <w:r>
        <w:rPr>
          <w:rFonts w:hint="eastAsia" w:ascii="新宋体" w:hAnsi="新宋体" w:eastAsia="新宋体" w:cs="新宋体"/>
          <w:spacing w:val="-4"/>
        </w:rPr>
        <w:t>19.8谈判结束后，谈判小组应要求竞标人在约定的时间、地点以书面密封形式递交谈判时要求其就商务和技术条件作出的包含补充、修改、承诺、重新报价等内容的应答文件，应答文件必须由竞标人的法定代表人或委托代理人签名或盖公章，应答文件构成响应文件的一部分。</w:t>
      </w:r>
    </w:p>
    <w:p>
      <w:pPr>
        <w:pStyle w:val="11"/>
        <w:spacing w:line="420" w:lineRule="exact"/>
        <w:ind w:firstLine="420"/>
        <w:rPr>
          <w:rFonts w:hint="eastAsia" w:ascii="新宋体" w:hAnsi="新宋体" w:eastAsia="新宋体" w:cs="新宋体"/>
          <w:spacing w:val="-4"/>
        </w:rPr>
      </w:pPr>
      <w:r>
        <w:rPr>
          <w:rFonts w:hint="eastAsia" w:ascii="新宋体" w:hAnsi="新宋体" w:eastAsia="新宋体" w:cs="新宋体"/>
          <w:spacing w:val="-4"/>
        </w:rPr>
        <w:t>19.9谈判小组</w:t>
      </w:r>
      <w:r>
        <w:rPr>
          <w:rFonts w:hint="eastAsia" w:ascii="新宋体" w:hAnsi="新宋体" w:eastAsia="新宋体" w:cs="新宋体"/>
        </w:rPr>
        <w:t>对各竞标人递交的应答文件统一开启，并进行评审后，认为有必要再次进行谈判的，可再次与竞标人进行谈判，谈判程序和要求按本须知第19条规定执行，直至谈判小组认为没有必要再进行谈判，谈判方可结束。对最后一轮谈判，谈判小组应明确告知竞标人，并要求所有竞标人</w:t>
      </w:r>
      <w:r>
        <w:rPr>
          <w:rFonts w:hint="eastAsia" w:ascii="新宋体" w:hAnsi="新宋体" w:eastAsia="新宋体" w:cs="新宋体"/>
          <w:spacing w:val="-4"/>
        </w:rPr>
        <w:t>在规定的时间、地点以书面密封形式递交最终的应答文件。</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spacing w:val="-4"/>
        </w:rPr>
        <w:t>19.10最终谈判结束后，谈判小组</w:t>
      </w:r>
      <w:r>
        <w:rPr>
          <w:rFonts w:hint="eastAsia" w:ascii="新宋体" w:hAnsi="新宋体" w:eastAsia="新宋体" w:cs="新宋体"/>
        </w:rPr>
        <w:t>不得再与竞标人进行任何形式的商谈。</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19.11谈判的任何一方不得透露与谈判有关的其他竞标人的技术资料、价格和其他信息。</w:t>
      </w:r>
    </w:p>
    <w:p>
      <w:pPr>
        <w:pStyle w:val="6"/>
        <w:rPr>
          <w:rFonts w:hint="eastAsia" w:ascii="新宋体" w:hAnsi="新宋体" w:eastAsia="新宋体" w:cs="新宋体"/>
        </w:rPr>
      </w:pPr>
      <w:bookmarkStart w:id="77" w:name="_Toc339292083"/>
      <w:bookmarkStart w:id="78" w:name="_Toc339291791"/>
      <w:r>
        <w:rPr>
          <w:rFonts w:hint="eastAsia" w:ascii="新宋体" w:hAnsi="新宋体" w:eastAsia="新宋体" w:cs="新宋体"/>
        </w:rPr>
        <w:t>20.评标</w:t>
      </w:r>
      <w:bookmarkEnd w:id="77"/>
      <w:bookmarkEnd w:id="78"/>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20.1本采购项目采用的评标方法为</w:t>
      </w:r>
      <w:r>
        <w:rPr>
          <w:rFonts w:hint="eastAsia" w:ascii="新宋体" w:hAnsi="新宋体" w:eastAsia="新宋体" w:cs="新宋体"/>
          <w:u w:val="single"/>
        </w:rPr>
        <w:t>合理低价中标法</w:t>
      </w:r>
      <w:r>
        <w:rPr>
          <w:rFonts w:hint="eastAsia" w:ascii="新宋体" w:hAnsi="新宋体" w:eastAsia="新宋体" w:cs="新宋体"/>
        </w:rPr>
        <w:t>，评标依据为竞争性谈判采购文件和响应文件及谈判应答文件。</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20.2评标工作将采取封闭方式进行，谈判小组成员和有关工作人员不得透露对响应文件的评审、比较和成交候选供应商的推荐情况以及与评标有关的其他情况。</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20.3竞标人在评标过程中，所进行的力图影响评标结果公正性的活动，将可能导致其成交资格被取消。</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20.4经谈判后竞标人竞标报价仍超出采购预算控制价则竞标无效。如果经谈判后全部竞标人的竞标报价均超出采购预算控制价，采购人不能支付的，由采购单位重新组织采购。</w:t>
      </w:r>
    </w:p>
    <w:p>
      <w:pPr>
        <w:pStyle w:val="6"/>
        <w:rPr>
          <w:rFonts w:hint="eastAsia" w:ascii="新宋体" w:hAnsi="新宋体" w:eastAsia="新宋体" w:cs="新宋体"/>
        </w:rPr>
      </w:pPr>
      <w:bookmarkStart w:id="79" w:name="_Toc339291792"/>
      <w:bookmarkStart w:id="80" w:name="_Toc339292084"/>
      <w:r>
        <w:rPr>
          <w:rFonts w:hint="eastAsia" w:ascii="新宋体" w:hAnsi="新宋体" w:eastAsia="新宋体" w:cs="新宋体"/>
        </w:rPr>
        <w:t>21.无效竞标</w:t>
      </w:r>
      <w:bookmarkEnd w:id="79"/>
      <w:bookmarkEnd w:id="80"/>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21.1响应文件如有下列情况之一，将会在评标中按照无效竞标处理：</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（1）应交未交或不足额交竞标保证金的；</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（2）未按谈判采购文件规定要求密封、签署、盖章的；</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（3）不具备谈判采购文件中规定资格要求的；</w:t>
      </w:r>
    </w:p>
    <w:p>
      <w:pPr>
        <w:pStyle w:val="11"/>
        <w:spacing w:line="420" w:lineRule="exact"/>
        <w:ind w:firstLine="420" w:firstLineChars="200"/>
        <w:rPr>
          <w:rFonts w:hint="eastAsia" w:ascii="新宋体" w:hAnsi="新宋体" w:eastAsia="新宋体" w:cs="新宋体"/>
        </w:rPr>
      </w:pPr>
      <w:r>
        <w:rPr>
          <w:rFonts w:hint="eastAsia" w:ascii="新宋体" w:hAnsi="新宋体" w:eastAsia="新宋体" w:cs="新宋体"/>
        </w:rPr>
        <w:t>（4）谈判后采购项目完成期限仍不能满足采购人规定期限的；</w:t>
      </w:r>
    </w:p>
    <w:p>
      <w:pPr>
        <w:pStyle w:val="11"/>
        <w:spacing w:line="420" w:lineRule="exact"/>
        <w:ind w:firstLine="420" w:firstLineChars="200"/>
        <w:rPr>
          <w:rFonts w:hint="eastAsia" w:ascii="新宋体" w:hAnsi="新宋体" w:eastAsia="新宋体" w:cs="新宋体"/>
        </w:rPr>
      </w:pPr>
      <w:r>
        <w:rPr>
          <w:rFonts w:hint="eastAsia" w:ascii="新宋体" w:hAnsi="新宋体" w:eastAsia="新宋体" w:cs="新宋体"/>
          <w:bCs/>
        </w:rPr>
        <w:t>（5）</w:t>
      </w:r>
      <w:r>
        <w:rPr>
          <w:rFonts w:hint="eastAsia" w:ascii="新宋体" w:hAnsi="新宋体" w:eastAsia="新宋体" w:cs="新宋体"/>
        </w:rPr>
        <w:t>谈判后采购项目明显不符合技术规格、技术标准要求的；</w:t>
      </w:r>
    </w:p>
    <w:p>
      <w:pPr>
        <w:pStyle w:val="11"/>
        <w:spacing w:line="420" w:lineRule="exact"/>
        <w:ind w:firstLine="420" w:firstLineChars="200"/>
        <w:rPr>
          <w:rFonts w:hint="eastAsia" w:ascii="新宋体" w:hAnsi="新宋体" w:eastAsia="新宋体" w:cs="新宋体"/>
        </w:rPr>
      </w:pPr>
      <w:r>
        <w:rPr>
          <w:rFonts w:hint="eastAsia" w:ascii="新宋体" w:hAnsi="新宋体" w:eastAsia="新宋体" w:cs="新宋体"/>
        </w:rPr>
        <w:t>（6）谈判后采购项目货物包装方式、检验标准和方法等不符合采购人要求的；</w:t>
      </w:r>
    </w:p>
    <w:p>
      <w:pPr>
        <w:pStyle w:val="11"/>
        <w:spacing w:line="420" w:lineRule="exact"/>
        <w:ind w:firstLine="420" w:firstLineChars="200"/>
        <w:rPr>
          <w:rFonts w:hint="eastAsia" w:ascii="新宋体" w:hAnsi="新宋体" w:eastAsia="新宋体" w:cs="新宋体"/>
        </w:rPr>
      </w:pPr>
      <w:r>
        <w:rPr>
          <w:rFonts w:hint="eastAsia" w:ascii="新宋体" w:hAnsi="新宋体" w:eastAsia="新宋体" w:cs="新宋体"/>
        </w:rPr>
        <w:t>（7）响应文件和谈判应答文件附有采购人不能接受的条件；</w:t>
      </w:r>
    </w:p>
    <w:p>
      <w:pPr>
        <w:pStyle w:val="11"/>
        <w:spacing w:line="420" w:lineRule="exact"/>
        <w:ind w:firstLine="420" w:firstLineChars="200"/>
        <w:rPr>
          <w:rFonts w:hint="eastAsia" w:ascii="新宋体" w:hAnsi="新宋体" w:eastAsia="新宋体" w:cs="新宋体"/>
          <w:b/>
        </w:rPr>
      </w:pPr>
      <w:r>
        <w:rPr>
          <w:rFonts w:hint="eastAsia" w:ascii="新宋体" w:hAnsi="新宋体" w:eastAsia="新宋体" w:cs="新宋体"/>
        </w:rPr>
        <w:t>（8）不符合法律、法规和谈判采购文件中规定的其他实质性要求的。</w:t>
      </w:r>
    </w:p>
    <w:p>
      <w:pPr>
        <w:pStyle w:val="5"/>
        <w:rPr>
          <w:rFonts w:hint="eastAsia" w:ascii="新宋体" w:hAnsi="新宋体" w:eastAsia="新宋体" w:cs="新宋体"/>
        </w:rPr>
      </w:pPr>
      <w:bookmarkStart w:id="81" w:name="_Toc339291793"/>
      <w:bookmarkStart w:id="82" w:name="_Toc339292085"/>
      <w:bookmarkStart w:id="83" w:name="_Toc27287"/>
      <w:bookmarkStart w:id="84" w:name="_Toc2141"/>
      <w:r>
        <w:rPr>
          <w:rFonts w:hint="eastAsia" w:ascii="新宋体" w:hAnsi="新宋体" w:eastAsia="新宋体" w:cs="新宋体"/>
        </w:rPr>
        <w:t>六、签订合同</w:t>
      </w:r>
      <w:bookmarkEnd w:id="81"/>
      <w:bookmarkEnd w:id="82"/>
      <w:bookmarkEnd w:id="83"/>
      <w:bookmarkEnd w:id="84"/>
    </w:p>
    <w:p>
      <w:pPr>
        <w:pStyle w:val="6"/>
        <w:rPr>
          <w:rFonts w:hint="eastAsia" w:ascii="新宋体" w:hAnsi="新宋体" w:eastAsia="新宋体" w:cs="新宋体"/>
        </w:rPr>
      </w:pPr>
      <w:bookmarkStart w:id="85" w:name="_Toc339291794"/>
      <w:bookmarkStart w:id="86" w:name="_Toc339292086"/>
      <w:r>
        <w:rPr>
          <w:rFonts w:hint="eastAsia" w:ascii="新宋体" w:hAnsi="新宋体" w:eastAsia="新宋体" w:cs="新宋体"/>
        </w:rPr>
        <w:t>22.成交通知</w:t>
      </w:r>
      <w:bookmarkEnd w:id="85"/>
      <w:bookmarkEnd w:id="86"/>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22.1采购代理机构将在评标结束五个工作日内将评标结果送采购人，采购人在五个工作日内按照采购结果报告中推荐的排名第一的成交候选供应商为成交供应商。</w:t>
      </w:r>
    </w:p>
    <w:p>
      <w:pPr>
        <w:pStyle w:val="11"/>
        <w:spacing w:line="400" w:lineRule="exact"/>
        <w:ind w:firstLine="420"/>
        <w:rPr>
          <w:rFonts w:hint="eastAsia" w:ascii="新宋体" w:hAnsi="新宋体" w:eastAsia="新宋体" w:cs="新宋体"/>
        </w:rPr>
      </w:pPr>
      <w:r>
        <w:rPr>
          <w:rFonts w:hint="eastAsia" w:ascii="新宋体" w:hAnsi="新宋体" w:eastAsia="新宋体" w:cs="新宋体"/>
        </w:rPr>
        <w:t>22.2采购代理机构向成交供应商发成交通知书并向未成交的供应商发采购结果通知。</w:t>
      </w:r>
    </w:p>
    <w:p>
      <w:pPr>
        <w:ind w:firstLine="420" w:firstLineChars="200"/>
        <w:rPr>
          <w:rFonts w:hint="eastAsia" w:ascii="新宋体" w:hAnsi="新宋体" w:eastAsia="新宋体" w:cs="新宋体"/>
        </w:rPr>
      </w:pPr>
      <w:r>
        <w:rPr>
          <w:rFonts w:hint="eastAsia" w:ascii="新宋体" w:hAnsi="新宋体" w:eastAsia="新宋体" w:cs="新宋体"/>
        </w:rPr>
        <w:t>22.3采购代理机构在向成交供应商发出成交通知书的同时在以下网址发布采购成交公告：中国政府采购网（http://www.ccgp.gov.cn）、广西壮族自治区政府采购网( http://www.gxzfcg.gov.cn) 、灵山县人民政府网站（http://www.gxls.gov.cn）</w:t>
      </w:r>
      <w:r>
        <w:rPr>
          <w:rFonts w:hint="eastAsia" w:ascii="新宋体" w:hAnsi="新宋体" w:eastAsia="新宋体" w:cs="新宋体"/>
          <w:lang w:eastAsia="zh-CN"/>
        </w:rPr>
        <w:t>、</w:t>
      </w:r>
      <w:r>
        <w:rPr>
          <w:rFonts w:hint="eastAsia" w:ascii="新宋体" w:hAnsi="新宋体" w:eastAsia="新宋体" w:cs="新宋体"/>
        </w:rPr>
        <w:t>广西祥立工程咨询有限责任公司网(http://www.gxxiangli.cn)。</w:t>
      </w:r>
    </w:p>
    <w:p>
      <w:pPr>
        <w:pStyle w:val="11"/>
        <w:spacing w:line="400" w:lineRule="exact"/>
        <w:ind w:firstLine="420"/>
        <w:rPr>
          <w:rFonts w:hint="eastAsia" w:ascii="新宋体" w:hAnsi="新宋体" w:eastAsia="新宋体" w:cs="新宋体"/>
        </w:rPr>
      </w:pPr>
      <w:r>
        <w:rPr>
          <w:rFonts w:hint="eastAsia" w:ascii="新宋体" w:hAnsi="新宋体" w:eastAsia="新宋体" w:cs="新宋体"/>
        </w:rPr>
        <w:t>22.4采购代理机构无义务向未成交的供应商解释未成交原因和退还响应文件。</w:t>
      </w:r>
    </w:p>
    <w:p>
      <w:pPr>
        <w:pStyle w:val="6"/>
        <w:rPr>
          <w:rFonts w:hint="eastAsia" w:ascii="新宋体" w:hAnsi="新宋体" w:eastAsia="新宋体" w:cs="新宋体"/>
        </w:rPr>
      </w:pPr>
      <w:bookmarkStart w:id="87" w:name="_Toc339292087"/>
      <w:bookmarkStart w:id="88" w:name="_Toc339291795"/>
      <w:r>
        <w:rPr>
          <w:rFonts w:hint="eastAsia" w:ascii="新宋体" w:hAnsi="新宋体" w:eastAsia="新宋体" w:cs="新宋体"/>
        </w:rPr>
        <w:t>23.合同授予标准</w:t>
      </w:r>
      <w:bookmarkEnd w:id="87"/>
      <w:bookmarkEnd w:id="88"/>
    </w:p>
    <w:p>
      <w:pPr>
        <w:pStyle w:val="11"/>
        <w:spacing w:line="420" w:lineRule="exact"/>
        <w:ind w:firstLine="420" w:firstLineChars="200"/>
        <w:rPr>
          <w:rFonts w:hint="eastAsia" w:ascii="新宋体" w:hAnsi="新宋体" w:eastAsia="新宋体" w:cs="新宋体"/>
        </w:rPr>
      </w:pPr>
      <w:r>
        <w:rPr>
          <w:rFonts w:hint="eastAsia" w:ascii="新宋体" w:hAnsi="新宋体" w:eastAsia="新宋体" w:cs="新宋体"/>
        </w:rPr>
        <w:t>23.1合同将授予被确定为实质上响应采购人需求，具备履行合同能力，采购结果报告中推荐的排名第一的成交候选供应商为成交供应商。</w:t>
      </w:r>
    </w:p>
    <w:p>
      <w:pPr>
        <w:pStyle w:val="6"/>
        <w:rPr>
          <w:rFonts w:hint="eastAsia" w:ascii="新宋体" w:hAnsi="新宋体" w:eastAsia="新宋体" w:cs="新宋体"/>
        </w:rPr>
      </w:pPr>
      <w:bookmarkStart w:id="89" w:name="_Toc339291796"/>
      <w:bookmarkStart w:id="90" w:name="_Toc339292088"/>
      <w:r>
        <w:rPr>
          <w:rFonts w:hint="eastAsia" w:ascii="新宋体" w:hAnsi="新宋体" w:eastAsia="新宋体" w:cs="新宋体"/>
        </w:rPr>
        <w:t>24.签订合同</w:t>
      </w:r>
      <w:bookmarkEnd w:id="89"/>
      <w:bookmarkEnd w:id="90"/>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24.1成交供应商应按成交通知书规定的时间、地点与采购人签订合同。</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24.2如成交供应商不按成交通知书的规定签订合同，则按成交供应商违约处理，采购代理机构将没收成交供应商竞标的全部竞标保证金。</w:t>
      </w:r>
    </w:p>
    <w:p>
      <w:pPr>
        <w:pStyle w:val="11"/>
        <w:rPr>
          <w:rFonts w:hint="eastAsia" w:ascii="新宋体" w:hAnsi="新宋体" w:eastAsia="新宋体" w:cs="新宋体"/>
        </w:rPr>
      </w:pPr>
      <w:r>
        <w:rPr>
          <w:rFonts w:hint="eastAsia" w:ascii="新宋体" w:hAnsi="新宋体" w:eastAsia="新宋体" w:cs="新宋体"/>
        </w:rPr>
        <w:t xml:space="preserve">    24.3成交应商因不可抗力或者自身原因不能履行采购合同的，采购人可以与排名第二的成交候选供应商签订采购合同，以此类推供。</w:t>
      </w:r>
    </w:p>
    <w:p>
      <w:pPr>
        <w:pStyle w:val="6"/>
        <w:rPr>
          <w:rFonts w:hint="eastAsia" w:ascii="新宋体" w:hAnsi="新宋体" w:eastAsia="新宋体" w:cs="新宋体"/>
        </w:rPr>
      </w:pPr>
      <w:bookmarkStart w:id="91" w:name="_Toc339292089"/>
      <w:bookmarkStart w:id="92" w:name="_Toc339291797"/>
      <w:r>
        <w:rPr>
          <w:rFonts w:hint="eastAsia" w:ascii="新宋体" w:hAnsi="新宋体" w:eastAsia="新宋体" w:cs="新宋体"/>
        </w:rPr>
        <w:t>25.履约保证金</w:t>
      </w:r>
      <w:bookmarkEnd w:id="91"/>
      <w:bookmarkEnd w:id="92"/>
    </w:p>
    <w:p>
      <w:pPr>
        <w:pStyle w:val="11"/>
        <w:spacing w:line="420" w:lineRule="exact"/>
        <w:ind w:left="6" w:firstLine="439"/>
        <w:rPr>
          <w:rFonts w:hint="eastAsia" w:ascii="新宋体" w:hAnsi="新宋体" w:eastAsia="新宋体" w:cs="新宋体"/>
        </w:rPr>
      </w:pPr>
      <w:r>
        <w:rPr>
          <w:rFonts w:hint="eastAsia" w:ascii="新宋体" w:hAnsi="新宋体" w:eastAsia="新宋体" w:cs="新宋体"/>
        </w:rPr>
        <w:t>25.1履约保证金为成交金额的</w:t>
      </w:r>
      <w:r>
        <w:rPr>
          <w:rFonts w:hint="eastAsia" w:ascii="新宋体" w:hAnsi="新宋体" w:eastAsia="新宋体" w:cs="新宋体"/>
          <w:u w:val="single"/>
        </w:rPr>
        <w:t>5%</w:t>
      </w:r>
      <w:r>
        <w:rPr>
          <w:rFonts w:hint="eastAsia" w:ascii="新宋体" w:hAnsi="新宋体" w:eastAsia="新宋体" w:cs="新宋体"/>
        </w:rPr>
        <w:t>，由成交供应商在签订合同前提交给采购代理机构。</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25.2履约保证金作为违约金的一部分及用于补偿采购人因成交供应商不能完成其合同义务而蒙受的损失。如成交供应商不按双方签订的合同规定履约，则没收其全部履约保证金，履约保证金不足以赔偿损失的，按实际损失赔偿。</w:t>
      </w:r>
    </w:p>
    <w:p>
      <w:pPr>
        <w:pStyle w:val="11"/>
        <w:spacing w:line="440" w:lineRule="exact"/>
        <w:ind w:firstLine="420" w:firstLineChars="200"/>
        <w:rPr>
          <w:rFonts w:hint="eastAsia" w:ascii="新宋体" w:hAnsi="新宋体" w:eastAsia="新宋体" w:cs="新宋体"/>
        </w:rPr>
      </w:pPr>
      <w:r>
        <w:rPr>
          <w:rFonts w:hint="eastAsia" w:ascii="新宋体" w:hAnsi="新宋体" w:eastAsia="新宋体" w:cs="新宋体"/>
        </w:rPr>
        <w:t>25.3交货验收合格后，采购人出具证明，履约保证金由采购代理机构在五个工作日内退还（无息）。</w:t>
      </w:r>
    </w:p>
    <w:p>
      <w:pPr>
        <w:pStyle w:val="5"/>
        <w:rPr>
          <w:rFonts w:hint="eastAsia" w:ascii="新宋体" w:hAnsi="新宋体" w:eastAsia="新宋体" w:cs="新宋体"/>
        </w:rPr>
      </w:pPr>
      <w:bookmarkStart w:id="93" w:name="_Toc339292090"/>
      <w:bookmarkStart w:id="94" w:name="_Toc4415"/>
      <w:bookmarkStart w:id="95" w:name="_Toc25138"/>
      <w:bookmarkStart w:id="96" w:name="_Toc339291798"/>
      <w:r>
        <w:rPr>
          <w:rFonts w:hint="eastAsia" w:ascii="新宋体" w:hAnsi="新宋体" w:eastAsia="新宋体" w:cs="新宋体"/>
        </w:rPr>
        <w:t>七、其他事项</w:t>
      </w:r>
      <w:bookmarkEnd w:id="93"/>
      <w:bookmarkEnd w:id="94"/>
      <w:bookmarkEnd w:id="95"/>
      <w:bookmarkEnd w:id="96"/>
    </w:p>
    <w:p>
      <w:pPr>
        <w:pStyle w:val="6"/>
        <w:rPr>
          <w:rFonts w:hint="eastAsia" w:ascii="新宋体" w:hAnsi="新宋体" w:eastAsia="新宋体" w:cs="新宋体"/>
        </w:rPr>
      </w:pPr>
      <w:bookmarkStart w:id="97" w:name="_Toc339291799"/>
      <w:bookmarkStart w:id="98" w:name="_Toc339292091"/>
      <w:r>
        <w:rPr>
          <w:rFonts w:hint="eastAsia" w:ascii="新宋体" w:hAnsi="新宋体" w:eastAsia="新宋体" w:cs="新宋体"/>
        </w:rPr>
        <w:t>26.成交服务费</w:t>
      </w:r>
      <w:bookmarkEnd w:id="97"/>
      <w:bookmarkEnd w:id="98"/>
    </w:p>
    <w:p>
      <w:pPr>
        <w:spacing w:line="360" w:lineRule="exact"/>
        <w:ind w:firstLine="420" w:firstLineChars="200"/>
        <w:rPr>
          <w:rFonts w:hint="eastAsia" w:ascii="新宋体" w:hAnsi="新宋体" w:eastAsia="新宋体" w:cs="新宋体"/>
        </w:rPr>
      </w:pPr>
      <w:r>
        <w:rPr>
          <w:rFonts w:hint="eastAsia" w:ascii="新宋体" w:hAnsi="新宋体" w:eastAsia="新宋体" w:cs="新宋体"/>
          <w:color w:val="FF0000"/>
        </w:rPr>
        <w:t>26.1根据有关收费规定并经双方商定，采购文件售价定为 250元/本，</w:t>
      </w:r>
      <w:r>
        <w:rPr>
          <w:rFonts w:hint="eastAsia" w:ascii="新宋体" w:hAnsi="新宋体" w:eastAsia="新宋体" w:cs="新宋体"/>
          <w:color w:val="FF0000"/>
          <w:szCs w:val="21"/>
        </w:rPr>
        <w:t>招标代理全部费用由甲方根据（灵财采［2017］1号）文件精神，向财政部门申请拨给</w:t>
      </w:r>
      <w:r>
        <w:rPr>
          <w:rFonts w:hint="eastAsia" w:ascii="新宋体" w:hAnsi="新宋体" w:eastAsia="新宋体" w:cs="新宋体"/>
          <w:color w:val="FF0000"/>
          <w:sz w:val="24"/>
        </w:rPr>
        <w:t>。</w:t>
      </w:r>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26.2代理服务收费标准：</w:t>
      </w:r>
    </w:p>
    <w:tbl>
      <w:tblPr>
        <w:tblStyle w:val="22"/>
        <w:tblW w:w="7766" w:type="dxa"/>
        <w:tblInd w:w="7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9"/>
        <w:gridCol w:w="1858"/>
        <w:gridCol w:w="1742"/>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sz w:val="20"/>
              </w:rPr>
              <w:pict>
                <v:line id="Line 2" o:spid="_x0000_s1026" o:spt="20" style="position:absolute;left:0pt;margin-left:21.6pt;margin-top:-0.7pt;height:64.4pt;width:90pt;z-index:251671552;mso-width-relative:page;mso-height-relative:page;" coordsize="21600,21600" o:gfxdata="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H/I6vWAAAACQEAAA8AAAAAAAAAAQAgAAAAIgAAAGRycy9k&#10;b3ducmV2LnhtbFBLAQIUABQAAAAIAIdO4kBysjtCywEAAJ4DAAAOAAAAAAAAAAEAIAAAACUBAABk&#10;cnMvZTJvRG9jLnhtbFBLBQYAAAAABgAGAFkBAABiBQAAAAA=&#10;">
                  <v:path arrowok="t"/>
                  <v:fill focussize="0,0"/>
                  <v:stroke/>
                  <v:imagedata o:title=""/>
                  <o:lock v:ext="edit"/>
                </v:line>
              </w:pict>
            </w:r>
            <w:r>
              <w:rPr>
                <w:rFonts w:hint="eastAsia" w:ascii="新宋体" w:hAnsi="新宋体" w:eastAsia="新宋体" w:cs="新宋体"/>
              </w:rPr>
              <w:t>费率        服务类型</w:t>
            </w:r>
          </w:p>
          <w:p>
            <w:pPr>
              <w:pStyle w:val="11"/>
              <w:spacing w:line="420" w:lineRule="exact"/>
              <w:rPr>
                <w:rFonts w:hint="eastAsia" w:ascii="新宋体" w:hAnsi="新宋体" w:eastAsia="新宋体" w:cs="新宋体"/>
              </w:rPr>
            </w:pPr>
            <w:r>
              <w:rPr>
                <w:rFonts w:hint="eastAsia" w:ascii="新宋体" w:hAnsi="新宋体" w:eastAsia="新宋体" w:cs="新宋体"/>
                <w:sz w:val="20"/>
              </w:rPr>
              <w:pict>
                <v:line id="Line 3" o:spid="_x0000_s1028" o:spt="20" style="position:absolute;left:0pt;margin-left:-5.4pt;margin-top:1.7pt;height:41pt;width:117pt;z-index:251672576;mso-width-relative:page;mso-height-relative:page;" coordsize="21600,21600" o:gfxdata="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x+1hA1wAAAAgBAAAPAAAAAAAAAAEAIAAAACIAAABkcnMvZG93&#10;bnJldi54bWxQSwECFAAUAAAACACHTuJADmEkOsgBAACeAwAADgAAAAAAAAABACAAAAAmAQAAZHJz&#10;L2Uyb0RvYy54bWxQSwUGAAAAAAYABgBZAQAAYAUAAAAA&#10;">
                  <v:path arrowok="t"/>
                  <v:fill focussize="0,0"/>
                  <v:stroke/>
                  <v:imagedata o:title=""/>
                  <o:lock v:ext="edit"/>
                </v:line>
              </w:pict>
            </w:r>
          </w:p>
          <w:p>
            <w:pPr>
              <w:pStyle w:val="11"/>
              <w:spacing w:line="420" w:lineRule="exact"/>
              <w:rPr>
                <w:rFonts w:hint="eastAsia" w:ascii="新宋体" w:hAnsi="新宋体" w:eastAsia="新宋体" w:cs="新宋体"/>
              </w:rPr>
            </w:pPr>
            <w:r>
              <w:rPr>
                <w:rFonts w:hint="eastAsia" w:ascii="新宋体" w:hAnsi="新宋体" w:eastAsia="新宋体" w:cs="新宋体"/>
              </w:rPr>
              <w:t>成交金额（万元）</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货物招标</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服务招标</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100以下</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1.5%</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1.5%</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100-500</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1.1%</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0.8%</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500-1000</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0.8%</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0.45%</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1000-5000</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0.5%</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0.25%</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5000-10000</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0.25%</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0.1%</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10000-100000</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0.05%</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0.05%</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9" w:type="dxa"/>
          </w:tcPr>
          <w:p>
            <w:pPr>
              <w:pStyle w:val="11"/>
              <w:spacing w:line="420" w:lineRule="exact"/>
              <w:rPr>
                <w:rFonts w:hint="eastAsia" w:ascii="新宋体" w:hAnsi="新宋体" w:eastAsia="新宋体" w:cs="新宋体"/>
              </w:rPr>
            </w:pPr>
            <w:r>
              <w:rPr>
                <w:rFonts w:hint="eastAsia" w:ascii="新宋体" w:hAnsi="新宋体" w:eastAsia="新宋体" w:cs="新宋体"/>
              </w:rPr>
              <w:t>100000以上</w:t>
            </w:r>
          </w:p>
        </w:tc>
        <w:tc>
          <w:tcPr>
            <w:tcW w:w="1858"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0.01%</w:t>
            </w:r>
          </w:p>
        </w:tc>
        <w:tc>
          <w:tcPr>
            <w:tcW w:w="1742"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0.01%</w:t>
            </w:r>
          </w:p>
        </w:tc>
        <w:tc>
          <w:tcPr>
            <w:tcW w:w="1847" w:type="dxa"/>
          </w:tcPr>
          <w:p>
            <w:pPr>
              <w:pStyle w:val="11"/>
              <w:spacing w:line="420" w:lineRule="exact"/>
              <w:jc w:val="center"/>
              <w:rPr>
                <w:rFonts w:hint="eastAsia" w:ascii="新宋体" w:hAnsi="新宋体" w:eastAsia="新宋体" w:cs="新宋体"/>
              </w:rPr>
            </w:pPr>
            <w:r>
              <w:rPr>
                <w:rFonts w:hint="eastAsia" w:ascii="新宋体" w:hAnsi="新宋体" w:eastAsia="新宋体" w:cs="新宋体"/>
              </w:rPr>
              <w:t>0.01%</w:t>
            </w:r>
          </w:p>
        </w:tc>
      </w:tr>
    </w:tbl>
    <w:p>
      <w:pPr>
        <w:pStyle w:val="11"/>
        <w:spacing w:line="420" w:lineRule="exact"/>
        <w:rPr>
          <w:rFonts w:hint="eastAsia" w:ascii="新宋体" w:hAnsi="新宋体" w:eastAsia="新宋体" w:cs="新宋体"/>
        </w:rPr>
      </w:pPr>
      <w:r>
        <w:rPr>
          <w:rFonts w:hint="eastAsia" w:ascii="新宋体" w:hAnsi="新宋体" w:eastAsia="新宋体" w:cs="新宋体"/>
        </w:rPr>
        <w:t>注：</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1、采购代理服务费收费差额定率累进法计算。例如：某货物采购代理业务成交金额为600万元，计算采购代理服务费额如下：</w:t>
      </w:r>
    </w:p>
    <w:p>
      <w:pPr>
        <w:pStyle w:val="11"/>
        <w:spacing w:line="420" w:lineRule="exact"/>
        <w:rPr>
          <w:rFonts w:hint="eastAsia" w:ascii="新宋体" w:hAnsi="新宋体" w:eastAsia="新宋体" w:cs="新宋体"/>
        </w:rPr>
      </w:pPr>
      <w:r>
        <w:rPr>
          <w:rFonts w:hint="eastAsia" w:ascii="新宋体" w:hAnsi="新宋体" w:eastAsia="新宋体" w:cs="新宋体"/>
        </w:rPr>
        <w:t xml:space="preserve"> 100万元×1.5%=1.5万元</w:t>
      </w:r>
    </w:p>
    <w:p>
      <w:pPr>
        <w:pStyle w:val="11"/>
        <w:spacing w:line="420" w:lineRule="exact"/>
        <w:rPr>
          <w:rFonts w:hint="eastAsia" w:ascii="新宋体" w:hAnsi="新宋体" w:eastAsia="新宋体" w:cs="新宋体"/>
        </w:rPr>
      </w:pPr>
      <w:r>
        <w:rPr>
          <w:rFonts w:hint="eastAsia" w:ascii="新宋体" w:hAnsi="新宋体" w:eastAsia="新宋体" w:cs="新宋体"/>
        </w:rPr>
        <w:t>（500-100）万元×1.1%=4.4万元</w:t>
      </w:r>
    </w:p>
    <w:p>
      <w:pPr>
        <w:pStyle w:val="11"/>
        <w:spacing w:line="420" w:lineRule="exact"/>
        <w:rPr>
          <w:rFonts w:hint="eastAsia" w:ascii="新宋体" w:hAnsi="新宋体" w:eastAsia="新宋体" w:cs="新宋体"/>
        </w:rPr>
      </w:pPr>
      <w:r>
        <w:rPr>
          <w:rFonts w:hint="eastAsia" w:ascii="新宋体" w:hAnsi="新宋体" w:eastAsia="新宋体" w:cs="新宋体"/>
        </w:rPr>
        <w:t>（600-500）万元×0.8%=0.8万元</w:t>
      </w:r>
    </w:p>
    <w:p>
      <w:pPr>
        <w:pStyle w:val="11"/>
        <w:spacing w:line="420" w:lineRule="exact"/>
        <w:rPr>
          <w:rFonts w:hint="eastAsia" w:ascii="新宋体" w:hAnsi="新宋体" w:eastAsia="新宋体" w:cs="新宋体"/>
        </w:rPr>
      </w:pPr>
      <w:r>
        <w:rPr>
          <w:rFonts w:hint="eastAsia" w:ascii="新宋体" w:hAnsi="新宋体" w:eastAsia="新宋体" w:cs="新宋体"/>
        </w:rPr>
        <w:t>合计收费=1.5+4.4+0.8=6.7（万元）</w:t>
      </w:r>
    </w:p>
    <w:p>
      <w:pPr>
        <w:pStyle w:val="6"/>
        <w:rPr>
          <w:rFonts w:hint="eastAsia" w:ascii="新宋体" w:hAnsi="新宋体" w:eastAsia="新宋体" w:cs="新宋体"/>
        </w:rPr>
      </w:pPr>
      <w:bookmarkStart w:id="99" w:name="_Toc339291800"/>
      <w:bookmarkStart w:id="100" w:name="_Toc339292092"/>
      <w:r>
        <w:rPr>
          <w:rFonts w:hint="eastAsia" w:ascii="新宋体" w:hAnsi="新宋体" w:eastAsia="新宋体" w:cs="新宋体"/>
        </w:rPr>
        <w:t>27.解释权</w:t>
      </w:r>
      <w:bookmarkEnd w:id="99"/>
      <w:bookmarkEnd w:id="100"/>
    </w:p>
    <w:p>
      <w:pPr>
        <w:pStyle w:val="11"/>
        <w:spacing w:line="420" w:lineRule="exact"/>
        <w:ind w:firstLine="420"/>
        <w:rPr>
          <w:rFonts w:hint="eastAsia" w:ascii="新宋体" w:hAnsi="新宋体" w:eastAsia="新宋体" w:cs="新宋体"/>
        </w:rPr>
      </w:pPr>
      <w:r>
        <w:rPr>
          <w:rFonts w:hint="eastAsia" w:ascii="新宋体" w:hAnsi="新宋体" w:eastAsia="新宋体" w:cs="新宋体"/>
        </w:rPr>
        <w:t>27.1 本谈判采购文件是根据国家相关法律及有关政策、法规和参照国际惯例编制，解释权属本采购代理机构。</w:t>
      </w:r>
    </w:p>
    <w:p>
      <w:pPr>
        <w:pStyle w:val="6"/>
        <w:rPr>
          <w:rFonts w:hint="eastAsia" w:ascii="新宋体" w:hAnsi="新宋体" w:eastAsia="新宋体" w:cs="新宋体"/>
        </w:rPr>
      </w:pPr>
      <w:bookmarkStart w:id="101" w:name="_Toc339291801"/>
      <w:bookmarkStart w:id="102" w:name="_Toc339292093"/>
      <w:r>
        <w:rPr>
          <w:rFonts w:hint="eastAsia" w:ascii="新宋体" w:hAnsi="新宋体" w:eastAsia="新宋体" w:cs="新宋体"/>
        </w:rPr>
        <w:t>28.有关事宜</w:t>
      </w:r>
      <w:bookmarkEnd w:id="101"/>
      <w:bookmarkEnd w:id="102"/>
    </w:p>
    <w:p>
      <w:pPr>
        <w:pStyle w:val="11"/>
        <w:shd w:val="clear" w:fill="E7E6E6" w:themeFill="background2"/>
        <w:spacing w:line="420" w:lineRule="exact"/>
        <w:ind w:firstLine="420"/>
        <w:rPr>
          <w:rFonts w:hint="eastAsia" w:ascii="新宋体" w:hAnsi="新宋体" w:eastAsia="新宋体" w:cs="新宋体"/>
        </w:rPr>
      </w:pPr>
      <w:r>
        <w:rPr>
          <w:rFonts w:hint="eastAsia" w:ascii="新宋体" w:hAnsi="新宋体" w:eastAsia="新宋体" w:cs="新宋体"/>
        </w:rPr>
        <w:t>28.1所有与本谈判采购文件有关的函电请按下列通讯地址联系：</w:t>
      </w:r>
    </w:p>
    <w:p>
      <w:pPr>
        <w:pStyle w:val="11"/>
        <w:shd w:val="clear" w:fill="E7E6E6" w:themeFill="background2"/>
        <w:spacing w:line="360" w:lineRule="auto"/>
        <w:ind w:firstLine="840" w:firstLineChars="400"/>
        <w:rPr>
          <w:rFonts w:hint="eastAsia" w:ascii="新宋体" w:hAnsi="新宋体" w:eastAsia="新宋体" w:cs="新宋体"/>
          <w:u w:val="single"/>
        </w:rPr>
      </w:pPr>
      <w:r>
        <w:rPr>
          <w:rFonts w:hint="eastAsia" w:ascii="新宋体" w:hAnsi="新宋体" w:eastAsia="新宋体" w:cs="新宋体"/>
        </w:rPr>
        <w:t>采购代理机构：广西祥立工程咨询有限责任公司</w:t>
      </w:r>
    </w:p>
    <w:p>
      <w:pPr>
        <w:pStyle w:val="11"/>
        <w:shd w:val="clear" w:fill="E7E6E6" w:themeFill="background2"/>
        <w:spacing w:line="360" w:lineRule="auto"/>
        <w:ind w:firstLine="840" w:firstLineChars="400"/>
        <w:rPr>
          <w:rFonts w:hint="eastAsia" w:ascii="新宋体" w:hAnsi="新宋体" w:eastAsia="新宋体" w:cs="新宋体"/>
          <w:szCs w:val="21"/>
        </w:rPr>
      </w:pPr>
      <w:r>
        <w:rPr>
          <w:rFonts w:hint="eastAsia" w:ascii="新宋体" w:hAnsi="新宋体" w:eastAsia="新宋体" w:cs="新宋体"/>
        </w:rPr>
        <w:t>通讯地址：</w:t>
      </w:r>
      <w:r>
        <w:rPr>
          <w:rFonts w:hint="eastAsia" w:ascii="新宋体" w:hAnsi="新宋体" w:eastAsia="新宋体" w:cs="新宋体"/>
          <w:szCs w:val="21"/>
        </w:rPr>
        <w:t>广西南宁市星光大道223号荣宝华商城A12栋一单元二楼212室</w:t>
      </w:r>
    </w:p>
    <w:p>
      <w:pPr>
        <w:shd w:val="clear" w:fill="E7E6E6" w:themeFill="background2"/>
        <w:spacing w:line="440" w:lineRule="exact"/>
        <w:ind w:firstLine="840" w:firstLineChars="400"/>
        <w:rPr>
          <w:rFonts w:hint="eastAsia" w:ascii="新宋体" w:hAnsi="新宋体" w:eastAsia="新宋体" w:cs="新宋体"/>
          <w:szCs w:val="20"/>
        </w:rPr>
      </w:pPr>
      <w:r>
        <w:rPr>
          <w:rFonts w:hint="eastAsia" w:ascii="新宋体" w:hAnsi="新宋体" w:eastAsia="新宋体" w:cs="新宋体"/>
          <w:szCs w:val="20"/>
        </w:rPr>
        <w:t>开户名称：广西祥立工程咨询有限责任公司</w:t>
      </w:r>
    </w:p>
    <w:p>
      <w:pPr>
        <w:shd w:val="clear" w:fill="E7E6E6" w:themeFill="background2"/>
        <w:spacing w:line="440" w:lineRule="exact"/>
        <w:rPr>
          <w:rFonts w:hint="eastAsia" w:ascii="新宋体" w:hAnsi="新宋体" w:eastAsia="新宋体" w:cs="新宋体"/>
          <w:szCs w:val="20"/>
        </w:rPr>
      </w:pPr>
      <w:r>
        <w:rPr>
          <w:rFonts w:hint="eastAsia" w:ascii="新宋体" w:hAnsi="新宋体" w:eastAsia="新宋体" w:cs="新宋体"/>
          <w:szCs w:val="20"/>
        </w:rPr>
        <w:t xml:space="preserve">        开户银行： 中国建设银行股份有限公司南宁青山路支行  </w:t>
      </w:r>
    </w:p>
    <w:p>
      <w:pPr>
        <w:shd w:val="clear" w:fill="E7E6E6" w:themeFill="background2"/>
        <w:spacing w:line="440" w:lineRule="exact"/>
        <w:rPr>
          <w:rFonts w:hint="eastAsia" w:ascii="新宋体" w:hAnsi="新宋体" w:eastAsia="新宋体" w:cs="新宋体"/>
          <w:szCs w:val="20"/>
        </w:rPr>
      </w:pPr>
      <w:r>
        <w:rPr>
          <w:rFonts w:hint="eastAsia" w:ascii="新宋体" w:hAnsi="新宋体" w:eastAsia="新宋体" w:cs="新宋体"/>
          <w:szCs w:val="20"/>
        </w:rPr>
        <w:t xml:space="preserve">        银行账号：</w:t>
      </w:r>
      <w:r>
        <w:rPr>
          <w:rFonts w:hint="eastAsia" w:ascii="新宋体" w:hAnsi="新宋体" w:eastAsia="新宋体" w:cs="新宋体"/>
          <w:szCs w:val="20"/>
          <w:u w:val="single"/>
        </w:rPr>
        <w:t xml:space="preserve"> 45001604556050704136 </w:t>
      </w:r>
    </w:p>
    <w:p>
      <w:pPr>
        <w:pStyle w:val="11"/>
        <w:shd w:val="clear" w:fill="E7E6E6" w:themeFill="background2"/>
        <w:spacing w:line="360" w:lineRule="auto"/>
        <w:ind w:firstLine="840" w:firstLineChars="400"/>
        <w:rPr>
          <w:rFonts w:hint="eastAsia" w:ascii="新宋体" w:hAnsi="新宋体" w:eastAsia="新宋体" w:cs="新宋体"/>
          <w:u w:val="single"/>
        </w:rPr>
      </w:pPr>
      <w:r>
        <w:rPr>
          <w:rFonts w:hint="eastAsia" w:ascii="新宋体" w:hAnsi="新宋体" w:eastAsia="新宋体" w:cs="新宋体"/>
        </w:rPr>
        <w:t>邮政编码：</w:t>
      </w:r>
      <w:r>
        <w:rPr>
          <w:rFonts w:hint="eastAsia" w:ascii="新宋体" w:hAnsi="新宋体" w:eastAsia="新宋体" w:cs="新宋体"/>
          <w:u w:val="single"/>
        </w:rPr>
        <w:t xml:space="preserve">530012  </w:t>
      </w:r>
      <w:r>
        <w:rPr>
          <w:rFonts w:hint="eastAsia" w:ascii="新宋体" w:hAnsi="新宋体" w:eastAsia="新宋体" w:cs="新宋体"/>
        </w:rPr>
        <w:t xml:space="preserve">  电  话：</w:t>
      </w:r>
      <w:r>
        <w:rPr>
          <w:rFonts w:hint="eastAsia" w:ascii="新宋体" w:hAnsi="新宋体" w:eastAsia="新宋体" w:cs="新宋体"/>
          <w:u w:val="single"/>
        </w:rPr>
        <w:t>0771-4897005</w:t>
      </w:r>
      <w:r>
        <w:rPr>
          <w:rFonts w:hint="eastAsia" w:ascii="新宋体" w:hAnsi="新宋体" w:eastAsia="新宋体" w:cs="新宋体"/>
        </w:rPr>
        <w:t xml:space="preserve">      传    真：</w:t>
      </w:r>
      <w:bookmarkEnd w:id="15"/>
      <w:bookmarkStart w:id="103" w:name="_Toc14685"/>
      <w:bookmarkStart w:id="104" w:name="_Toc32527"/>
      <w:r>
        <w:rPr>
          <w:rFonts w:hint="eastAsia" w:ascii="新宋体" w:hAnsi="新宋体" w:eastAsia="新宋体" w:cs="新宋体"/>
          <w:u w:val="single"/>
        </w:rPr>
        <w:t>0771-4897005</w:t>
      </w:r>
    </w:p>
    <w:p>
      <w:pPr>
        <w:pStyle w:val="11"/>
        <w:shd w:val="clear" w:fill="E7E6E6" w:themeFill="background2"/>
        <w:spacing w:line="360" w:lineRule="auto"/>
        <w:ind w:firstLine="840" w:firstLineChars="400"/>
        <w:rPr>
          <w:rFonts w:hint="eastAsia" w:ascii="新宋体" w:hAnsi="新宋体" w:eastAsia="新宋体" w:cs="新宋体"/>
          <w:u w:val="single"/>
        </w:rPr>
      </w:pPr>
    </w:p>
    <w:p>
      <w:pPr>
        <w:pStyle w:val="11"/>
        <w:shd w:val="clear" w:fill="E7E6E6" w:themeFill="background2"/>
        <w:spacing w:line="360" w:lineRule="auto"/>
        <w:rPr>
          <w:rFonts w:hint="eastAsia" w:ascii="新宋体" w:hAnsi="新宋体" w:eastAsia="新宋体" w:cs="新宋体"/>
          <w:sz w:val="24"/>
          <w:u w:val="single"/>
        </w:rPr>
      </w:pPr>
    </w:p>
    <w:p>
      <w:pPr>
        <w:pStyle w:val="3"/>
        <w:bidi w:val="0"/>
        <w:jc w:val="center"/>
        <w:rPr>
          <w:rFonts w:hint="eastAsia" w:ascii="新宋体" w:hAnsi="新宋体" w:eastAsia="新宋体" w:cs="新宋体"/>
          <w:lang w:val="en-US" w:eastAsia="zh-CN"/>
        </w:rPr>
      </w:pPr>
      <w:bookmarkStart w:id="105" w:name="_Toc9503"/>
      <w:r>
        <w:rPr>
          <w:rFonts w:hint="eastAsia" w:ascii="新宋体" w:hAnsi="新宋体" w:eastAsia="新宋体" w:cs="新宋体"/>
          <w:lang w:val="en-US" w:eastAsia="zh-CN"/>
        </w:rPr>
        <w:t>第三章   货物需求一览表</w:t>
      </w:r>
      <w:bookmarkEnd w:id="103"/>
      <w:bookmarkEnd w:id="104"/>
      <w:bookmarkEnd w:id="105"/>
    </w:p>
    <w:p>
      <w:pPr>
        <w:shd w:val="clear" w:fill="E7E6E6" w:themeFill="background2"/>
        <w:spacing w:line="360" w:lineRule="auto"/>
        <w:ind w:firstLine="411" w:firstLineChars="195"/>
        <w:rPr>
          <w:rFonts w:hint="eastAsia" w:ascii="新宋体" w:hAnsi="新宋体" w:eastAsia="新宋体" w:cs="新宋体"/>
          <w:color w:val="000000" w:themeColor="text1"/>
          <w:sz w:val="28"/>
        </w:rPr>
      </w:pPr>
      <w:bookmarkStart w:id="106" w:name="_Toc340501922"/>
      <w:bookmarkStart w:id="107" w:name="_Toc21911"/>
      <w:bookmarkStart w:id="108" w:name="_Toc28323"/>
      <w:r>
        <w:rPr>
          <w:rFonts w:hint="eastAsia" w:ascii="新宋体" w:hAnsi="新宋体" w:eastAsia="新宋体" w:cs="新宋体"/>
          <w:b/>
          <w:color w:val="000000" w:themeColor="text1"/>
        </w:rPr>
        <w:t>说明：</w:t>
      </w:r>
    </w:p>
    <w:p>
      <w:pPr>
        <w:shd w:val="clear" w:fill="E7E6E6" w:themeFill="background2"/>
        <w:spacing w:line="360" w:lineRule="auto"/>
        <w:rPr>
          <w:rFonts w:hint="eastAsia" w:ascii="新宋体" w:hAnsi="新宋体" w:eastAsia="新宋体" w:cs="新宋体"/>
          <w:b/>
          <w:bCs/>
          <w:color w:val="000000" w:themeColor="text1"/>
          <w:sz w:val="18"/>
          <w:szCs w:val="18"/>
        </w:rPr>
      </w:pPr>
      <w:r>
        <w:rPr>
          <w:rFonts w:hint="eastAsia" w:ascii="新宋体" w:hAnsi="新宋体" w:eastAsia="新宋体" w:cs="新宋体"/>
          <w:color w:val="000000" w:themeColor="text1"/>
          <w:sz w:val="18"/>
          <w:szCs w:val="18"/>
        </w:rPr>
        <w:t xml:space="preserve">       </w:t>
      </w:r>
      <w:r>
        <w:rPr>
          <w:rFonts w:hint="eastAsia" w:ascii="新宋体" w:hAnsi="新宋体" w:eastAsia="新宋体" w:cs="新宋体"/>
          <w:b/>
          <w:bCs/>
          <w:color w:val="000000" w:themeColor="text1"/>
          <w:sz w:val="18"/>
          <w:szCs w:val="18"/>
        </w:rPr>
        <w:t xml:space="preserve">    1、本一览表中的品牌型号、技术参数及其性能（配置）仅起参考作用，投标人可选用其他品牌型号替代，但这些替代的品牌型号要实质上相当于或优于参考品牌型号及其技术参数性能（配置）要求。</w:t>
      </w:r>
    </w:p>
    <w:p>
      <w:pPr>
        <w:shd w:val="clear" w:fill="E7E6E6" w:themeFill="background2"/>
        <w:spacing w:line="360" w:lineRule="auto"/>
        <w:rPr>
          <w:rFonts w:hint="eastAsia" w:ascii="新宋体" w:hAnsi="新宋体" w:eastAsia="新宋体" w:cs="新宋体"/>
          <w:b/>
          <w:bCs/>
          <w:color w:val="000000" w:themeColor="text1"/>
          <w:sz w:val="18"/>
          <w:szCs w:val="18"/>
        </w:rPr>
      </w:pPr>
      <w:r>
        <w:rPr>
          <w:rFonts w:hint="eastAsia" w:ascii="新宋体" w:hAnsi="新宋体" w:eastAsia="新宋体" w:cs="新宋体"/>
          <w:b/>
          <w:bCs/>
          <w:color w:val="000000" w:themeColor="text1"/>
          <w:sz w:val="18"/>
          <w:szCs w:val="18"/>
        </w:rPr>
        <w:t xml:space="preserve">           2、本一览表中的品牌型号、技术参数及其性能（配置）不明确或有误的，或投标人选有其他品牌型号替代的，请以详细正确的品牌型号、技术参数及配置同时填写投标报价和技术规格响应表。</w:t>
      </w:r>
    </w:p>
    <w:p>
      <w:pPr>
        <w:shd w:val="clear" w:fill="E7E6E6" w:themeFill="background2"/>
        <w:spacing w:line="360" w:lineRule="auto"/>
        <w:rPr>
          <w:rFonts w:hint="eastAsia" w:ascii="新宋体" w:hAnsi="新宋体" w:eastAsia="新宋体" w:cs="新宋体"/>
          <w:b/>
          <w:bCs/>
          <w:color w:val="000000" w:themeColor="text1"/>
          <w:sz w:val="18"/>
          <w:szCs w:val="18"/>
        </w:rPr>
      </w:pPr>
      <w:r>
        <w:rPr>
          <w:rFonts w:hint="eastAsia" w:ascii="新宋体" w:hAnsi="新宋体" w:eastAsia="新宋体" w:cs="新宋体"/>
          <w:b/>
          <w:bCs/>
          <w:color w:val="000000" w:themeColor="text1"/>
          <w:sz w:val="18"/>
          <w:szCs w:val="18"/>
        </w:rPr>
        <w:t xml:space="preserve">           3、评标时，如果谈判小组发现“货物（服务）需求一览表”的技术参数及其性能（配置）要求（含附件）和售后服务及其它要求中含有某一品牌特有的参数或其他限制性要求的，有权认定不作为主要技术参数及其性能（配置）要求或不作为投标无效要求处理。</w:t>
      </w:r>
    </w:p>
    <w:p>
      <w:pPr>
        <w:pStyle w:val="2"/>
        <w:rPr>
          <w:rFonts w:hint="eastAsia" w:ascii="新宋体" w:hAnsi="新宋体" w:eastAsia="新宋体" w:cs="新宋体"/>
        </w:rPr>
      </w:pPr>
    </w:p>
    <w:p>
      <w:pPr>
        <w:pStyle w:val="2"/>
        <w:shd w:val="clear" w:fill="E7E6E6" w:themeFill="background2"/>
        <w:rPr>
          <w:rFonts w:hint="eastAsia" w:ascii="新宋体" w:hAnsi="新宋体" w:eastAsia="新宋体" w:cs="新宋体"/>
          <w:b/>
          <w:bCs/>
          <w:color w:val="000000" w:themeColor="text1"/>
          <w:sz w:val="44"/>
          <w:szCs w:val="44"/>
          <w:lang w:eastAsia="zh-CN"/>
        </w:rPr>
      </w:pPr>
      <w:r>
        <w:rPr>
          <w:rFonts w:hint="eastAsia" w:ascii="新宋体" w:hAnsi="新宋体" w:eastAsia="新宋体" w:cs="新宋体"/>
          <w:b/>
          <w:bCs/>
          <w:color w:val="000000" w:themeColor="text1"/>
          <w:sz w:val="44"/>
          <w:szCs w:val="44"/>
          <w:lang w:eastAsia="zh-CN"/>
        </w:rPr>
        <w:t>资源教室配置方案</w:t>
      </w:r>
    </w:p>
    <w:tbl>
      <w:tblPr>
        <w:tblStyle w:val="22"/>
        <w:tblpPr w:leftFromText="180" w:rightFromText="180" w:vertAnchor="text" w:horzAnchor="page" w:tblpX="1466" w:tblpY="313"/>
        <w:tblOverlap w:val="never"/>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495"/>
        <w:gridCol w:w="767"/>
        <w:gridCol w:w="4962"/>
        <w:gridCol w:w="567"/>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209" w:type="dxa"/>
            <w:gridSpan w:val="6"/>
            <w:vAlign w:val="center"/>
          </w:tcPr>
          <w:p>
            <w:pPr>
              <w:jc w:val="center"/>
              <w:rPr>
                <w:rFonts w:hint="eastAsia" w:ascii="新宋体" w:hAnsi="新宋体" w:eastAsia="新宋体" w:cs="新宋体"/>
                <w:color w:val="000000"/>
                <w:szCs w:val="21"/>
              </w:rPr>
            </w:pPr>
            <w:r>
              <w:rPr>
                <w:rFonts w:hint="eastAsia" w:ascii="新宋体" w:hAnsi="新宋体" w:eastAsia="新宋体" w:cs="新宋体"/>
                <w:b/>
                <w:bCs/>
                <w:color w:val="000000"/>
                <w:szCs w:val="21"/>
              </w:rPr>
              <w:t>一、基础设备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434" w:type="dxa"/>
            <w:vAlign w:val="center"/>
          </w:tcPr>
          <w:p>
            <w:pPr>
              <w:rPr>
                <w:rFonts w:hint="eastAsia" w:ascii="新宋体" w:hAnsi="新宋体" w:eastAsia="新宋体" w:cs="新宋体"/>
                <w:b/>
                <w:bCs/>
                <w:color w:val="000000"/>
                <w:szCs w:val="21"/>
              </w:rPr>
            </w:pPr>
            <w:r>
              <w:rPr>
                <w:rFonts w:hint="eastAsia" w:ascii="新宋体" w:hAnsi="新宋体" w:eastAsia="新宋体" w:cs="新宋体"/>
                <w:b/>
                <w:bCs/>
                <w:color w:val="000000"/>
                <w:szCs w:val="21"/>
              </w:rPr>
              <w:t>序号</w:t>
            </w:r>
          </w:p>
        </w:tc>
        <w:tc>
          <w:tcPr>
            <w:tcW w:w="495" w:type="dxa"/>
            <w:vAlign w:val="center"/>
          </w:tcPr>
          <w:p>
            <w:pPr>
              <w:jc w:val="center"/>
              <w:rPr>
                <w:rFonts w:hint="eastAsia" w:ascii="新宋体" w:hAnsi="新宋体" w:eastAsia="新宋体" w:cs="新宋体"/>
                <w:b/>
                <w:bCs/>
                <w:color w:val="000000"/>
                <w:szCs w:val="21"/>
              </w:rPr>
            </w:pPr>
            <w:r>
              <w:rPr>
                <w:rFonts w:hint="eastAsia" w:ascii="新宋体" w:hAnsi="新宋体" w:eastAsia="新宋体" w:cs="新宋体"/>
                <w:b/>
                <w:bCs/>
                <w:color w:val="000000"/>
                <w:szCs w:val="21"/>
              </w:rPr>
              <w:t>产品名称</w:t>
            </w:r>
          </w:p>
        </w:tc>
        <w:tc>
          <w:tcPr>
            <w:tcW w:w="767" w:type="dxa"/>
            <w:vAlign w:val="center"/>
          </w:tcPr>
          <w:p>
            <w:pPr>
              <w:jc w:val="center"/>
              <w:rPr>
                <w:rFonts w:hint="eastAsia" w:ascii="新宋体" w:hAnsi="新宋体" w:eastAsia="新宋体" w:cs="新宋体"/>
                <w:b/>
                <w:bCs/>
                <w:color w:val="000000"/>
                <w:szCs w:val="21"/>
              </w:rPr>
            </w:pPr>
            <w:r>
              <w:rPr>
                <w:rFonts w:hint="eastAsia" w:ascii="新宋体" w:hAnsi="新宋体" w:eastAsia="新宋体" w:cs="新宋体"/>
                <w:b/>
                <w:bCs/>
                <w:color w:val="000000"/>
                <w:szCs w:val="21"/>
              </w:rPr>
              <w:t>设备名称</w:t>
            </w:r>
          </w:p>
        </w:tc>
        <w:tc>
          <w:tcPr>
            <w:tcW w:w="4962" w:type="dxa"/>
            <w:vAlign w:val="center"/>
          </w:tcPr>
          <w:p>
            <w:pPr>
              <w:jc w:val="center"/>
              <w:rPr>
                <w:rFonts w:hint="eastAsia" w:ascii="新宋体" w:hAnsi="新宋体" w:eastAsia="新宋体" w:cs="新宋体"/>
                <w:b/>
                <w:bCs/>
                <w:color w:val="000000"/>
                <w:szCs w:val="21"/>
              </w:rPr>
            </w:pPr>
            <w:r>
              <w:rPr>
                <w:rFonts w:hint="eastAsia" w:ascii="新宋体" w:hAnsi="新宋体" w:eastAsia="新宋体" w:cs="新宋体"/>
                <w:b/>
                <w:bCs/>
                <w:color w:val="000000"/>
                <w:szCs w:val="21"/>
              </w:rPr>
              <w:t>技术参数</w:t>
            </w:r>
          </w:p>
        </w:tc>
        <w:tc>
          <w:tcPr>
            <w:tcW w:w="567" w:type="dxa"/>
            <w:vAlign w:val="center"/>
          </w:tcPr>
          <w:p>
            <w:pPr>
              <w:jc w:val="center"/>
              <w:rPr>
                <w:rFonts w:hint="eastAsia" w:ascii="新宋体" w:hAnsi="新宋体" w:eastAsia="新宋体" w:cs="新宋体"/>
                <w:b/>
                <w:bCs/>
                <w:color w:val="000000"/>
                <w:szCs w:val="21"/>
              </w:rPr>
            </w:pPr>
            <w:r>
              <w:rPr>
                <w:rFonts w:hint="eastAsia" w:ascii="新宋体" w:hAnsi="新宋体" w:eastAsia="新宋体" w:cs="新宋体"/>
                <w:b/>
                <w:bCs/>
                <w:color w:val="000000"/>
                <w:szCs w:val="21"/>
              </w:rPr>
              <w:t>数量</w:t>
            </w:r>
          </w:p>
        </w:tc>
        <w:tc>
          <w:tcPr>
            <w:tcW w:w="1984" w:type="dxa"/>
            <w:vAlign w:val="center"/>
          </w:tcPr>
          <w:p>
            <w:pPr>
              <w:jc w:val="center"/>
              <w:rPr>
                <w:rFonts w:hint="eastAsia" w:ascii="新宋体" w:hAnsi="新宋体" w:eastAsia="新宋体" w:cs="新宋体"/>
                <w:b/>
                <w:bCs/>
                <w:color w:val="000000"/>
                <w:szCs w:val="21"/>
              </w:rPr>
            </w:pPr>
            <w:r>
              <w:rPr>
                <w:rFonts w:hint="eastAsia" w:ascii="新宋体" w:hAnsi="新宋体" w:eastAsia="新宋体" w:cs="新宋体"/>
                <w:b/>
                <w:bCs/>
                <w:color w:val="00000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495" w:type="dxa"/>
            <w:vMerge w:val="restart"/>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办公用具</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多媒体触摸一体机</w:t>
            </w:r>
          </w:p>
        </w:tc>
        <w:tc>
          <w:tcPr>
            <w:tcW w:w="4962" w:type="dxa"/>
            <w:vAlign w:val="center"/>
          </w:tcPr>
          <w:p>
            <w:pPr>
              <w:rPr>
                <w:rFonts w:hint="eastAsia" w:ascii="新宋体" w:hAnsi="新宋体" w:eastAsia="新宋体" w:cs="新宋体"/>
                <w:szCs w:val="21"/>
              </w:rPr>
            </w:pPr>
            <w:r>
              <w:rPr>
                <w:rFonts w:hint="eastAsia" w:ascii="新宋体" w:hAnsi="新宋体" w:eastAsia="新宋体" w:cs="新宋体"/>
                <w:szCs w:val="21"/>
              </w:rPr>
              <w:t>一、整体功能：</w:t>
            </w:r>
          </w:p>
          <w:p>
            <w:pPr>
              <w:rPr>
                <w:rFonts w:hint="eastAsia" w:ascii="新宋体" w:hAnsi="新宋体" w:eastAsia="新宋体" w:cs="新宋体"/>
                <w:szCs w:val="21"/>
              </w:rPr>
            </w:pPr>
            <w:r>
              <w:rPr>
                <w:rFonts w:hint="eastAsia" w:ascii="新宋体" w:hAnsi="新宋体" w:eastAsia="新宋体" w:cs="新宋体"/>
                <w:szCs w:val="21"/>
              </w:rPr>
              <w:t>1.整机屏幕采用≥70英寸或以上LED液晶屏，钢化玻璃，显示比例16:9，具备防眩光效果。</w:t>
            </w:r>
          </w:p>
          <w:p>
            <w:pPr>
              <w:rPr>
                <w:rFonts w:hint="eastAsia" w:ascii="新宋体" w:hAnsi="新宋体" w:eastAsia="新宋体" w:cs="新宋体"/>
                <w:szCs w:val="21"/>
              </w:rPr>
            </w:pPr>
            <w:r>
              <w:rPr>
                <w:rFonts w:hint="eastAsia" w:ascii="新宋体" w:hAnsi="新宋体" w:eastAsia="新宋体" w:cs="新宋体"/>
                <w:szCs w:val="21"/>
              </w:rPr>
              <w:t>2.整机只需要一根网线，即可实现Windows及Android双系统上网。（投标时须提供国家认可的第三方检测机构出具的双系统共用网口功能检测报告复印件）</w:t>
            </w:r>
          </w:p>
          <w:p>
            <w:pPr>
              <w:rPr>
                <w:rFonts w:hint="eastAsia" w:ascii="新宋体" w:hAnsi="新宋体" w:eastAsia="新宋体" w:cs="新宋体"/>
                <w:szCs w:val="21"/>
              </w:rPr>
            </w:pPr>
            <w:r>
              <w:rPr>
                <w:rFonts w:hint="eastAsia" w:ascii="新宋体" w:hAnsi="新宋体" w:eastAsia="新宋体" w:cs="新宋体"/>
                <w:szCs w:val="21"/>
              </w:rPr>
              <w:t>★3.整机具备至少3路前置USB接口（其中≥2路为USB3.0），且前置USB接口全部支持Windows及Android双系统读取，将U盘逐一插入前置USB接口，在Windows及Android系统中均能看到清晰的识别过程并且能打开相应文件，防止老师误操作。（投标时须提供国家认可的第三方检测机构出具的双系统共用USB口的检测报告复印件）</w:t>
            </w:r>
          </w:p>
          <w:p>
            <w:pPr>
              <w:rPr>
                <w:rFonts w:hint="eastAsia" w:ascii="新宋体" w:hAnsi="新宋体" w:eastAsia="新宋体" w:cs="新宋体"/>
                <w:szCs w:val="21"/>
              </w:rPr>
            </w:pPr>
            <w:r>
              <w:rPr>
                <w:rFonts w:hint="eastAsia" w:ascii="新宋体" w:hAnsi="新宋体" w:eastAsia="新宋体" w:cs="新宋体"/>
                <w:szCs w:val="21"/>
              </w:rPr>
              <w:t>4.节能功能：整机可一键黑屏节能70%以上；自动关机节能功能：当设备在五分钟内处于无信号接收状态且无人操作时，将会自动关机；黑板关闭自动节能：当整机安装到推拉黑板中时，关闭推拉黑板，整机将在短时间内自动进入黑屏节能模式。</w:t>
            </w:r>
          </w:p>
          <w:p>
            <w:pPr>
              <w:rPr>
                <w:rFonts w:hint="eastAsia" w:ascii="新宋体" w:hAnsi="新宋体" w:eastAsia="新宋体" w:cs="新宋体"/>
                <w:szCs w:val="21"/>
              </w:rPr>
            </w:pPr>
            <w:r>
              <w:rPr>
                <w:rFonts w:hint="eastAsia" w:ascii="新宋体" w:hAnsi="新宋体" w:eastAsia="新宋体" w:cs="新宋体"/>
                <w:szCs w:val="21"/>
              </w:rPr>
              <w:t>5.配备无线智能遥控：具备电视遥控功能和电脑键盘常用的F1—F12功能键及Alt+F4、Alt+Tab、windows等快捷按键；设备可通过遥控器，或者前置组合按键的形式锁定/解锁触摸和按键，防止课间学生操作。</w:t>
            </w:r>
          </w:p>
          <w:p>
            <w:pPr>
              <w:rPr>
                <w:rFonts w:hint="eastAsia" w:ascii="新宋体" w:hAnsi="新宋体" w:eastAsia="新宋体" w:cs="新宋体"/>
                <w:szCs w:val="21"/>
              </w:rPr>
            </w:pPr>
            <w:r>
              <w:rPr>
                <w:rFonts w:hint="eastAsia" w:ascii="新宋体" w:hAnsi="新宋体" w:eastAsia="新宋体" w:cs="新宋体"/>
                <w:szCs w:val="21"/>
              </w:rPr>
              <w:t>★6.整机面板前置按键功能三合一，整机电视开关、电脑开关和节能待机功能使用同一个按键完成操作，方便老师操作使用；（投标时须提供国家认可的第三方检测机构出具的整机电视开关、电脑开关和节能待机按键三合一的检测报告复印件）</w:t>
            </w:r>
          </w:p>
          <w:p>
            <w:pPr>
              <w:rPr>
                <w:rFonts w:hint="eastAsia" w:ascii="新宋体" w:hAnsi="新宋体" w:eastAsia="新宋体" w:cs="新宋体"/>
                <w:szCs w:val="21"/>
              </w:rPr>
            </w:pPr>
            <w:r>
              <w:rPr>
                <w:rFonts w:hint="eastAsia" w:ascii="新宋体" w:hAnsi="新宋体" w:eastAsia="新宋体" w:cs="新宋体"/>
                <w:szCs w:val="21"/>
              </w:rPr>
              <w:t>7.当整机外接电脑设备并连接触摸线使用时，外接电脑可直接读取插在整机上的U盘，并识别连接至整机的翻页笔、无线键鼠等USB连接设备。</w:t>
            </w:r>
          </w:p>
          <w:p>
            <w:pPr>
              <w:rPr>
                <w:rFonts w:hint="eastAsia" w:ascii="新宋体" w:hAnsi="新宋体" w:eastAsia="新宋体" w:cs="新宋体"/>
                <w:szCs w:val="21"/>
              </w:rPr>
            </w:pPr>
            <w:r>
              <w:rPr>
                <w:rFonts w:hint="eastAsia" w:ascii="新宋体" w:hAnsi="新宋体" w:eastAsia="新宋体" w:cs="新宋体"/>
                <w:szCs w:val="21"/>
              </w:rPr>
              <w:t>8.整机处于任意通道下，可调用互动课堂功能；可通过手势识别调出板擦工具进行擦除，并可在屏幕侧边快速调出触摸便捷菜单，实现十笔批注、荧光笔书写、截图、快捷白板、任意通道放大等快捷小工具，方便老师组合使用。</w:t>
            </w:r>
          </w:p>
          <w:p>
            <w:pPr>
              <w:rPr>
                <w:rFonts w:hint="eastAsia" w:ascii="新宋体" w:hAnsi="新宋体" w:eastAsia="新宋体" w:cs="新宋体"/>
                <w:szCs w:val="21"/>
              </w:rPr>
            </w:pPr>
            <w:r>
              <w:rPr>
                <w:rFonts w:hint="eastAsia" w:ascii="新宋体" w:hAnsi="新宋体" w:eastAsia="新宋体" w:cs="新宋体"/>
                <w:szCs w:val="21"/>
              </w:rPr>
              <w:t>9.整机支持快速通道跳转：整机处于非内置PC通道下，在屏幕侧边可调出PC通道按钮，支持用户一键回到PC通道；同时支持用户自定义设置常用快捷通道，可从侧边栏一键进入该通道，提升老师教学效率。</w:t>
            </w:r>
          </w:p>
          <w:p>
            <w:pPr>
              <w:rPr>
                <w:rFonts w:hint="eastAsia" w:ascii="新宋体" w:hAnsi="新宋体" w:eastAsia="新宋体" w:cs="新宋体"/>
                <w:szCs w:val="21"/>
              </w:rPr>
            </w:pPr>
            <w:r>
              <w:rPr>
                <w:rFonts w:hint="eastAsia" w:ascii="新宋体" w:hAnsi="新宋体" w:eastAsia="新宋体" w:cs="新宋体"/>
                <w:szCs w:val="21"/>
              </w:rPr>
              <w:t>★10.整机支持任意通道画面放大功能，可在整机任意通道下将画面冻结并双击画面任一部分进行放大，也可以通过按键将整个画面自由缩放，放大后的屏幕画面可进行任意拖拽。（投标时须提供国家认可的第三方检测机构出具的任意通道冻结画面放大的检测报告复印件）</w:t>
            </w:r>
          </w:p>
          <w:p>
            <w:pPr>
              <w:rPr>
                <w:rFonts w:hint="eastAsia" w:ascii="新宋体" w:hAnsi="新宋体" w:eastAsia="新宋体" w:cs="新宋体"/>
                <w:szCs w:val="21"/>
              </w:rPr>
            </w:pPr>
            <w:r>
              <w:rPr>
                <w:rFonts w:hint="eastAsia" w:ascii="新宋体" w:hAnsi="新宋体" w:eastAsia="新宋体" w:cs="新宋体"/>
                <w:szCs w:val="21"/>
              </w:rPr>
              <w:t>二、电视系统：</w:t>
            </w:r>
          </w:p>
          <w:p>
            <w:pPr>
              <w:rPr>
                <w:rFonts w:hint="eastAsia" w:ascii="新宋体" w:hAnsi="新宋体" w:eastAsia="新宋体" w:cs="新宋体"/>
                <w:szCs w:val="21"/>
              </w:rPr>
            </w:pPr>
            <w:r>
              <w:rPr>
                <w:rFonts w:hint="eastAsia" w:ascii="新宋体" w:hAnsi="新宋体" w:eastAsia="新宋体" w:cs="新宋体"/>
                <w:szCs w:val="21"/>
              </w:rPr>
              <w:t>1.屏幕图像分辨率≥1920*1080，屏幕显示灰度分辨等级达128灰阶以上，保证画面显示效果。</w:t>
            </w:r>
          </w:p>
          <w:p>
            <w:pPr>
              <w:rPr>
                <w:rFonts w:hint="eastAsia" w:ascii="新宋体" w:hAnsi="新宋体" w:eastAsia="新宋体" w:cs="新宋体"/>
                <w:szCs w:val="21"/>
              </w:rPr>
            </w:pPr>
            <w:r>
              <w:rPr>
                <w:rFonts w:hint="eastAsia" w:ascii="新宋体" w:hAnsi="新宋体" w:eastAsia="新宋体" w:cs="新宋体"/>
                <w:szCs w:val="21"/>
              </w:rPr>
              <w:t>2.输入端子: ≥1路VGA；≥1路Audio；≥1路AV；≥1路YPbPr；≥2路HDMI；≥1路TV RF；≥2路USB,至少一路可随通道自动切换，方便外接其他设备时在任意通道均可使用；≥1路Line in；≥1路RS232接口；≥1路RJ45。</w:t>
            </w:r>
          </w:p>
          <w:p>
            <w:pPr>
              <w:rPr>
                <w:rFonts w:hint="eastAsia" w:ascii="新宋体" w:hAnsi="新宋体" w:eastAsia="新宋体" w:cs="新宋体"/>
                <w:szCs w:val="21"/>
              </w:rPr>
            </w:pPr>
            <w:r>
              <w:rPr>
                <w:rFonts w:hint="eastAsia" w:ascii="新宋体" w:hAnsi="新宋体" w:eastAsia="新宋体" w:cs="新宋体"/>
                <w:szCs w:val="21"/>
              </w:rPr>
              <w:t>3.输出端子：≥1路耳机；≥1路同轴输出；≥1路Touch USB out。</w:t>
            </w:r>
          </w:p>
          <w:p>
            <w:pPr>
              <w:rPr>
                <w:rFonts w:hint="eastAsia" w:ascii="新宋体" w:hAnsi="新宋体" w:eastAsia="新宋体" w:cs="新宋体"/>
                <w:szCs w:val="21"/>
              </w:rPr>
            </w:pPr>
            <w:r>
              <w:rPr>
                <w:rFonts w:hint="eastAsia" w:ascii="新宋体" w:hAnsi="新宋体" w:eastAsia="新宋体" w:cs="新宋体"/>
                <w:szCs w:val="21"/>
              </w:rPr>
              <w:t>5.图像制式：PAL/SECAM/NTSC；喇叭输出功率≥15瓦x2</w:t>
            </w:r>
          </w:p>
          <w:p>
            <w:pPr>
              <w:rPr>
                <w:rFonts w:hint="eastAsia" w:ascii="新宋体" w:hAnsi="新宋体" w:eastAsia="新宋体" w:cs="新宋体"/>
                <w:szCs w:val="21"/>
              </w:rPr>
            </w:pPr>
            <w:r>
              <w:rPr>
                <w:rFonts w:hint="eastAsia" w:ascii="新宋体" w:hAnsi="新宋体" w:eastAsia="新宋体" w:cs="新宋体"/>
                <w:szCs w:val="21"/>
              </w:rPr>
              <w:t>三、触摸系统：</w:t>
            </w:r>
          </w:p>
          <w:p>
            <w:pPr>
              <w:rPr>
                <w:rFonts w:hint="eastAsia" w:ascii="新宋体" w:hAnsi="新宋体" w:eastAsia="新宋体" w:cs="新宋体"/>
                <w:szCs w:val="21"/>
              </w:rPr>
            </w:pPr>
            <w:r>
              <w:rPr>
                <w:rFonts w:hint="eastAsia" w:ascii="新宋体" w:hAnsi="新宋体" w:eastAsia="新宋体" w:cs="新宋体"/>
                <w:szCs w:val="21"/>
              </w:rPr>
              <w:t>1.采用红外触控技术，支持在Windows与安卓系统中进行十点触控及十点书写。</w:t>
            </w:r>
          </w:p>
          <w:p>
            <w:pPr>
              <w:rPr>
                <w:rFonts w:hint="eastAsia" w:ascii="新宋体" w:hAnsi="新宋体" w:eastAsia="新宋体" w:cs="新宋体"/>
                <w:szCs w:val="21"/>
              </w:rPr>
            </w:pPr>
            <w:r>
              <w:rPr>
                <w:rFonts w:hint="eastAsia" w:ascii="新宋体" w:hAnsi="新宋体" w:eastAsia="新宋体" w:cs="新宋体"/>
                <w:szCs w:val="21"/>
              </w:rPr>
              <w:t>2.书写方式：手指或笔触摸；触摸响应时间＜15毫秒；触摸有效识别≥6毫米；为保证触摸书写流畅度，书写延迟时间需控制在≤80ms；</w:t>
            </w:r>
          </w:p>
          <w:p>
            <w:pPr>
              <w:rPr>
                <w:rFonts w:hint="eastAsia" w:ascii="新宋体" w:hAnsi="新宋体" w:eastAsia="新宋体" w:cs="新宋体"/>
                <w:szCs w:val="21"/>
              </w:rPr>
            </w:pPr>
            <w:r>
              <w:rPr>
                <w:rFonts w:hint="eastAsia" w:ascii="新宋体" w:hAnsi="新宋体" w:eastAsia="新宋体" w:cs="新宋体"/>
                <w:szCs w:val="21"/>
              </w:rPr>
              <w:t>3.触摸屏具有防遮挡功能，触摸接收器在单点或多点遮挡后仍能正常书写；触摸屏具有防光干扰功能，至少能在照度80K LUX（勒克司）环境下仍能正常工作。</w:t>
            </w:r>
          </w:p>
          <w:p>
            <w:pPr>
              <w:rPr>
                <w:rFonts w:hint="eastAsia" w:ascii="新宋体" w:hAnsi="新宋体" w:eastAsia="新宋体" w:cs="新宋体"/>
                <w:szCs w:val="21"/>
              </w:rPr>
            </w:pPr>
            <w:r>
              <w:rPr>
                <w:rFonts w:hint="eastAsia" w:ascii="新宋体" w:hAnsi="新宋体" w:eastAsia="新宋体" w:cs="新宋体"/>
                <w:szCs w:val="21"/>
              </w:rPr>
              <w:t>4.触摸精准性：整机屏幕触摸有效识别高度小于4.5mm,，即触摸物体距离玻璃外表面高度低于4.5mm时，触摸屏识别为点击操作，保证触摸精准</w:t>
            </w:r>
          </w:p>
          <w:p>
            <w:pPr>
              <w:rPr>
                <w:rFonts w:hint="eastAsia" w:ascii="新宋体" w:hAnsi="新宋体" w:eastAsia="新宋体" w:cs="新宋体"/>
                <w:szCs w:val="21"/>
              </w:rPr>
            </w:pPr>
            <w:r>
              <w:rPr>
                <w:rFonts w:hint="eastAsia" w:ascii="新宋体" w:hAnsi="新宋体" w:eastAsia="新宋体" w:cs="新宋体"/>
                <w:szCs w:val="21"/>
              </w:rPr>
              <w:t>5.触摸框免驱：支持Windows XP、Windows 7、Windows 8、Windows 8.1、Linux、Mac Os系统外置电脑操作系统接入时，无需安装触摸框驱动。</w:t>
            </w:r>
          </w:p>
          <w:p>
            <w:pPr>
              <w:rPr>
                <w:rFonts w:hint="eastAsia" w:ascii="新宋体" w:hAnsi="新宋体" w:eastAsia="新宋体" w:cs="新宋体"/>
                <w:szCs w:val="21"/>
              </w:rPr>
            </w:pPr>
            <w:r>
              <w:rPr>
                <w:rFonts w:hint="eastAsia" w:ascii="新宋体" w:hAnsi="新宋体" w:eastAsia="新宋体" w:cs="新宋体"/>
                <w:szCs w:val="21"/>
              </w:rPr>
              <w:t>四、嵌入式系统：</w:t>
            </w:r>
          </w:p>
          <w:p>
            <w:pPr>
              <w:rPr>
                <w:rFonts w:hint="eastAsia" w:ascii="新宋体" w:hAnsi="新宋体" w:eastAsia="新宋体" w:cs="新宋体"/>
                <w:szCs w:val="21"/>
              </w:rPr>
            </w:pPr>
            <w:r>
              <w:rPr>
                <w:rFonts w:hint="eastAsia" w:ascii="新宋体" w:hAnsi="新宋体" w:eastAsia="新宋体" w:cs="新宋体"/>
                <w:szCs w:val="21"/>
              </w:rPr>
              <w:t>1.无PC状态下，嵌入式安卓操作系统可实现windows系统中常用的教学应用功能，如白板书写、Office软件使用、网页浏览等。</w:t>
            </w:r>
          </w:p>
          <w:p>
            <w:pPr>
              <w:rPr>
                <w:rFonts w:hint="eastAsia" w:ascii="新宋体" w:hAnsi="新宋体" w:eastAsia="新宋体" w:cs="新宋体"/>
                <w:szCs w:val="21"/>
              </w:rPr>
            </w:pPr>
            <w:r>
              <w:rPr>
                <w:rFonts w:hint="eastAsia" w:ascii="新宋体" w:hAnsi="新宋体" w:eastAsia="新宋体" w:cs="新宋体"/>
                <w:szCs w:val="21"/>
              </w:rPr>
              <w:t>2.换色功能：老师在嵌入式系统上选中笔迹或形状后，可选择不同颜色，对笔迹或形状进行换色，区别各类内容，突出重点。</w:t>
            </w:r>
          </w:p>
          <w:p>
            <w:pPr>
              <w:rPr>
                <w:rFonts w:hint="eastAsia" w:ascii="新宋体" w:hAnsi="新宋体" w:eastAsia="新宋体" w:cs="新宋体"/>
                <w:szCs w:val="21"/>
              </w:rPr>
            </w:pPr>
            <w:r>
              <w:rPr>
                <w:rFonts w:hint="eastAsia" w:ascii="新宋体" w:hAnsi="新宋体" w:eastAsia="新宋体" w:cs="新宋体"/>
                <w:szCs w:val="21"/>
              </w:rPr>
              <w:t>3.在嵌入式安卓操作系统下，能对TV多媒体USB所读取到的课件文件进行自动归类，可快速分类查找office文档、音乐、视频、图片等文件，检索后可直接在界面中打开。</w:t>
            </w:r>
          </w:p>
          <w:p>
            <w:pPr>
              <w:rPr>
                <w:rFonts w:hint="eastAsia" w:ascii="新宋体" w:hAnsi="新宋体" w:eastAsia="新宋体" w:cs="新宋体"/>
                <w:szCs w:val="21"/>
              </w:rPr>
            </w:pPr>
            <w:r>
              <w:rPr>
                <w:rFonts w:hint="eastAsia" w:ascii="新宋体" w:hAnsi="新宋体" w:eastAsia="新宋体" w:cs="新宋体"/>
                <w:szCs w:val="21"/>
              </w:rPr>
              <w:t>4.无PC状态下，支持在嵌入式系统下直接启动视频展台，可进行批注、旋转及截图，且支持二分屏或四分屏同时展示展台内容，可任意更换分屏幕画面内容。</w:t>
            </w:r>
          </w:p>
          <w:p>
            <w:pPr>
              <w:rPr>
                <w:rFonts w:hint="eastAsia" w:ascii="新宋体" w:hAnsi="新宋体" w:eastAsia="新宋体" w:cs="新宋体"/>
                <w:szCs w:val="21"/>
              </w:rPr>
            </w:pPr>
            <w:r>
              <w:rPr>
                <w:rFonts w:hint="eastAsia" w:ascii="新宋体" w:hAnsi="新宋体" w:eastAsia="新宋体" w:cs="新宋体"/>
                <w:szCs w:val="21"/>
              </w:rPr>
              <w:t>5.无需借助PC，整机可一键进行硬件自检，包括对系统硬盘、系统内存、触摸框、PC模块、光感系统等模块进行检测，并针对不同模块给出问题原因提示。</w:t>
            </w:r>
          </w:p>
          <w:p>
            <w:pPr>
              <w:rPr>
                <w:rFonts w:hint="eastAsia" w:ascii="新宋体" w:hAnsi="新宋体" w:eastAsia="新宋体" w:cs="新宋体"/>
                <w:szCs w:val="21"/>
              </w:rPr>
            </w:pPr>
            <w:r>
              <w:rPr>
                <w:rFonts w:hint="eastAsia" w:ascii="新宋体" w:hAnsi="新宋体" w:eastAsia="新宋体" w:cs="新宋体"/>
                <w:szCs w:val="21"/>
              </w:rPr>
              <w:t>7.整机无需外接无线网卡，在嵌入式系统下接入无线网络，切换到windows系统下可同时实现无线上网功能，不需手动重复设置</w:t>
            </w:r>
          </w:p>
          <w:p>
            <w:pPr>
              <w:rPr>
                <w:rFonts w:hint="eastAsia" w:ascii="新宋体" w:hAnsi="新宋体" w:eastAsia="新宋体" w:cs="新宋体"/>
                <w:szCs w:val="21"/>
              </w:rPr>
            </w:pPr>
            <w:r>
              <w:rPr>
                <w:rFonts w:hint="eastAsia" w:ascii="新宋体" w:hAnsi="新宋体" w:eastAsia="新宋体" w:cs="新宋体"/>
                <w:szCs w:val="21"/>
              </w:rPr>
              <w:t>五、内置电脑：</w:t>
            </w:r>
          </w:p>
          <w:p>
            <w:pPr>
              <w:rPr>
                <w:rFonts w:hint="eastAsia" w:ascii="新宋体" w:hAnsi="新宋体" w:eastAsia="新宋体" w:cs="新宋体"/>
                <w:szCs w:val="21"/>
              </w:rPr>
            </w:pPr>
            <w:r>
              <w:rPr>
                <w:rFonts w:hint="eastAsia" w:ascii="新宋体" w:hAnsi="新宋体" w:eastAsia="新宋体" w:cs="新宋体"/>
                <w:szCs w:val="21"/>
              </w:rPr>
              <w:t>★1.采用模块化电脑方案，抽拉内置式，采用120pin或以上接口，实现无单独接线的插拔，低噪音热管传导散热设计，不接受其它接口方式；处理器：Intel Core i3处理器；内存：4G DDR3笔记本内存或以上配置；硬盘：128G或以上SSD固态硬盘；≥1路HDMI ；≥1路DP，DP接口可传输高清视频信号到外部显示设备。</w:t>
            </w:r>
          </w:p>
          <w:p>
            <w:pPr>
              <w:rPr>
                <w:rFonts w:hint="eastAsia" w:ascii="新宋体" w:hAnsi="新宋体" w:eastAsia="新宋体" w:cs="新宋体"/>
                <w:szCs w:val="21"/>
              </w:rPr>
            </w:pPr>
            <w:r>
              <w:rPr>
                <w:rFonts w:hint="eastAsia" w:ascii="新宋体" w:hAnsi="新宋体" w:eastAsia="新宋体" w:cs="新宋体"/>
                <w:szCs w:val="21"/>
              </w:rPr>
              <w:t>2.内置WiFi：IEEE 802.11n标准；内置网卡：10M/100M/1000M。</w:t>
            </w:r>
          </w:p>
          <w:p>
            <w:pPr>
              <w:rPr>
                <w:rFonts w:hint="eastAsia" w:ascii="新宋体" w:hAnsi="新宋体" w:eastAsia="新宋体" w:cs="新宋体"/>
                <w:szCs w:val="21"/>
              </w:rPr>
            </w:pPr>
            <w:r>
              <w:rPr>
                <w:rFonts w:hint="eastAsia" w:ascii="新宋体" w:hAnsi="新宋体" w:eastAsia="新宋体" w:cs="新宋体"/>
                <w:szCs w:val="21"/>
              </w:rPr>
              <w:t>3具有独立非外扩展的电脑USB接口：电脑上至少6个USB接口，其中≥2个USB3.0接口。</w:t>
            </w:r>
          </w:p>
          <w:p>
            <w:pPr>
              <w:rPr>
                <w:rFonts w:hint="eastAsia" w:ascii="新宋体" w:hAnsi="新宋体" w:eastAsia="新宋体" w:cs="新宋体"/>
                <w:szCs w:val="21"/>
              </w:rPr>
            </w:pPr>
            <w:r>
              <w:rPr>
                <w:rFonts w:hint="eastAsia" w:ascii="新宋体" w:hAnsi="新宋体" w:eastAsia="新宋体" w:cs="新宋体"/>
                <w:szCs w:val="21"/>
              </w:rPr>
              <w:t>六、教学便捷软件：</w:t>
            </w:r>
          </w:p>
          <w:p>
            <w:pPr>
              <w:rPr>
                <w:rFonts w:hint="eastAsia" w:ascii="新宋体" w:hAnsi="新宋体" w:eastAsia="新宋体" w:cs="新宋体"/>
                <w:szCs w:val="21"/>
              </w:rPr>
            </w:pPr>
            <w:r>
              <w:rPr>
                <w:rFonts w:hint="eastAsia" w:ascii="新宋体" w:hAnsi="新宋体" w:eastAsia="新宋体" w:cs="新宋体"/>
                <w:szCs w:val="21"/>
              </w:rPr>
              <w:t>★1.一键录屏软件功能：设备支持通过整机前置面板按键一键启动录屏功能，可将屏幕中显示的课件、音频等内容与老师人声同步录制，方便制作教学视频。（投标时须提供国家认可的第三方检测机构出具的一键录屏功能的检测报告复印件）</w:t>
            </w:r>
          </w:p>
          <w:p>
            <w:pPr>
              <w:rPr>
                <w:rFonts w:hint="eastAsia" w:ascii="新宋体" w:hAnsi="新宋体" w:eastAsia="新宋体" w:cs="新宋体"/>
                <w:szCs w:val="21"/>
              </w:rPr>
            </w:pPr>
            <w:r>
              <w:rPr>
                <w:rFonts w:hint="eastAsia" w:ascii="新宋体" w:hAnsi="新宋体" w:eastAsia="新宋体" w:cs="新宋体"/>
                <w:szCs w:val="21"/>
              </w:rPr>
              <w:t>2.白板软件一键调整分辨率功能：可通过整机前置实体按键对白板软件画面实现一键切换屏幕分辨率，调整画面显示比例。</w:t>
            </w:r>
          </w:p>
          <w:p>
            <w:pPr>
              <w:rPr>
                <w:rFonts w:hint="eastAsia" w:ascii="新宋体" w:hAnsi="新宋体" w:eastAsia="新宋体" w:cs="新宋体"/>
                <w:szCs w:val="21"/>
              </w:rPr>
            </w:pPr>
            <w:r>
              <w:rPr>
                <w:rFonts w:hint="eastAsia" w:ascii="新宋体" w:hAnsi="新宋体" w:eastAsia="新宋体" w:cs="新宋体"/>
                <w:szCs w:val="21"/>
              </w:rPr>
              <w:t>3.中控菜单软件：内置触摸中控菜单，菜单上的通道信号源名称支持自定义命名，方便老师识别；中控音效控制功能：设备支持DBX音效，可实现环绕音质，并支持用户在菜单中随时开启/关闭DBX音效功能。（投标时须提供国家认可的第三方检测机构出具的通道信号源自定义功能的检测报告复印件）</w:t>
            </w:r>
          </w:p>
          <w:p>
            <w:pPr>
              <w:rPr>
                <w:rFonts w:hint="eastAsia" w:ascii="新宋体" w:hAnsi="新宋体" w:eastAsia="新宋体" w:cs="新宋体"/>
                <w:szCs w:val="21"/>
              </w:rPr>
            </w:pPr>
            <w:r>
              <w:rPr>
                <w:rFonts w:hint="eastAsia" w:ascii="新宋体" w:hAnsi="新宋体" w:eastAsia="新宋体" w:cs="新宋体"/>
                <w:szCs w:val="21"/>
              </w:rPr>
              <w:t>★4.智能U盘锁软件功能：整机可设置触摸及按键自动锁定，保证无关人士无法自由操作，需要使用时只需插入USB key即可解锁，也支持整机面板前置组合按键锁/解锁定整机（至少涉及3个前置按键），通过前置组合按键的形式锁定/解锁触摸功能和整机前置面板按键，防止课间无关人员操作。</w:t>
            </w:r>
          </w:p>
          <w:p>
            <w:pPr>
              <w:rPr>
                <w:rFonts w:hint="eastAsia" w:ascii="新宋体" w:hAnsi="新宋体" w:eastAsia="新宋体" w:cs="新宋体"/>
                <w:szCs w:val="21"/>
              </w:rPr>
            </w:pPr>
            <w:r>
              <w:rPr>
                <w:rFonts w:hint="eastAsia" w:ascii="新宋体" w:hAnsi="新宋体" w:eastAsia="新宋体" w:cs="新宋体"/>
                <w:szCs w:val="21"/>
              </w:rPr>
              <w:t>5. PPT助手软件：在无需打开除PPT以外的其他软件时，可实现新建PPT并课件及板书内容直接生成二维码分享，且扫码后支持在手持终端生成二维码进行再次分享，支持点赞。支持发送课件链接至邮箱，方便教师下载保存课件板书内容。</w:t>
            </w:r>
          </w:p>
          <w:p>
            <w:pPr>
              <w:rPr>
                <w:rFonts w:hint="eastAsia" w:ascii="新宋体" w:hAnsi="新宋体" w:eastAsia="新宋体" w:cs="新宋体"/>
                <w:szCs w:val="21"/>
              </w:rPr>
            </w:pPr>
            <w:r>
              <w:rPr>
                <w:rFonts w:hint="eastAsia" w:ascii="新宋体" w:hAnsi="新宋体" w:eastAsia="新宋体" w:cs="新宋体"/>
                <w:szCs w:val="21"/>
              </w:rPr>
              <w:t>★6.展台扫码软件：支持在展台软件中，可通过内置（非外接扩展）≥500万像素的摄像头，在接入网络后支持二维码扫码识别功能，扫描并读取二维码资源。（投标时须提供国家认可的第三方检测机构出具的内置摄像头功能的检测报告复印件）</w:t>
            </w:r>
          </w:p>
          <w:p>
            <w:pPr>
              <w:rPr>
                <w:rFonts w:hint="eastAsia" w:ascii="新宋体" w:hAnsi="新宋体" w:eastAsia="新宋体" w:cs="新宋体"/>
                <w:szCs w:val="21"/>
              </w:rPr>
            </w:pPr>
            <w:r>
              <w:rPr>
                <w:rFonts w:hint="eastAsia" w:ascii="新宋体" w:hAnsi="新宋体" w:eastAsia="新宋体" w:cs="新宋体"/>
                <w:szCs w:val="21"/>
              </w:rPr>
              <w:t>7.嵌入式系统中支持超级计算器功能，可进行初级计算、方程（组）智能求解、自动求导求积分等操作；该计算器还可根据用户输入的函数，智能绘制函数图像，提升老师课堂效率。</w:t>
            </w:r>
          </w:p>
          <w:p>
            <w:pPr>
              <w:rPr>
                <w:rFonts w:hint="eastAsia" w:ascii="新宋体" w:hAnsi="新宋体" w:eastAsia="新宋体" w:cs="新宋体"/>
                <w:szCs w:val="21"/>
              </w:rPr>
            </w:pPr>
            <w:r>
              <w:rPr>
                <w:rFonts w:hint="eastAsia" w:ascii="新宋体" w:hAnsi="新宋体" w:eastAsia="新宋体" w:cs="新宋体"/>
                <w:szCs w:val="21"/>
              </w:rPr>
              <w:t>8.师生互动软件，整机任何一个通道信号源下，均可调用互动课堂功能：</w:t>
            </w:r>
          </w:p>
          <w:p>
            <w:pPr>
              <w:rPr>
                <w:rFonts w:hint="eastAsia" w:ascii="新宋体" w:hAnsi="新宋体" w:eastAsia="新宋体" w:cs="新宋体"/>
                <w:szCs w:val="21"/>
              </w:rPr>
            </w:pPr>
            <w:r>
              <w:rPr>
                <w:rFonts w:hint="eastAsia" w:ascii="新宋体" w:hAnsi="新宋体" w:eastAsia="新宋体" w:cs="新宋体"/>
                <w:szCs w:val="21"/>
              </w:rPr>
              <w:t>（1）支持移动终端扫描二维码，实现互动答题功能。</w:t>
            </w:r>
          </w:p>
          <w:p>
            <w:pPr>
              <w:rPr>
                <w:rFonts w:hint="eastAsia" w:ascii="新宋体" w:hAnsi="新宋体" w:eastAsia="新宋体" w:cs="新宋体"/>
                <w:szCs w:val="21"/>
              </w:rPr>
            </w:pPr>
            <w:r>
              <w:rPr>
                <w:rFonts w:hint="eastAsia" w:ascii="新宋体" w:hAnsi="新宋体" w:eastAsia="新宋体" w:cs="新宋体"/>
                <w:szCs w:val="21"/>
              </w:rPr>
              <w:t>（2）支持老师发起单选题、多选题、抢答题等，答题结束可查看答题结果，帮助老师了解课堂学习情况。</w:t>
            </w:r>
          </w:p>
          <w:p>
            <w:pPr>
              <w:rPr>
                <w:rFonts w:hint="eastAsia" w:ascii="新宋体" w:hAnsi="新宋体" w:eastAsia="新宋体" w:cs="新宋体"/>
                <w:szCs w:val="21"/>
              </w:rPr>
            </w:pPr>
            <w:r>
              <w:rPr>
                <w:rFonts w:hint="eastAsia" w:ascii="新宋体" w:hAnsi="新宋体" w:eastAsia="新宋体" w:cs="新宋体"/>
                <w:szCs w:val="21"/>
              </w:rPr>
              <w:t>（3）学生可便捷设置姓名，方便老师管理课堂答题情况。</w:t>
            </w:r>
          </w:p>
          <w:p>
            <w:pPr>
              <w:rPr>
                <w:rFonts w:hint="eastAsia" w:ascii="新宋体" w:hAnsi="新宋体" w:eastAsia="新宋体" w:cs="新宋体"/>
                <w:szCs w:val="21"/>
              </w:rPr>
            </w:pPr>
            <w:r>
              <w:rPr>
                <w:rFonts w:hint="eastAsia" w:ascii="新宋体" w:hAnsi="新宋体" w:eastAsia="新宋体" w:cs="新宋体"/>
                <w:szCs w:val="21"/>
              </w:rPr>
              <w:t>（4）支持开启或关闭信息接收功能，开启后学生可通过移动终端发送信息至智能平板展示，增加课堂互动方式。</w:t>
            </w:r>
          </w:p>
          <w:p>
            <w:pPr>
              <w:rPr>
                <w:rFonts w:hint="eastAsia" w:ascii="新宋体" w:hAnsi="新宋体" w:eastAsia="新宋体" w:cs="新宋体"/>
                <w:szCs w:val="21"/>
              </w:rPr>
            </w:pPr>
            <w:r>
              <w:rPr>
                <w:rFonts w:hint="eastAsia" w:ascii="新宋体" w:hAnsi="新宋体" w:eastAsia="新宋体" w:cs="新宋体"/>
                <w:szCs w:val="21"/>
              </w:rPr>
              <w:t>七、备授课一体化软件</w:t>
            </w:r>
          </w:p>
          <w:p>
            <w:pPr>
              <w:rPr>
                <w:rFonts w:hint="eastAsia" w:ascii="新宋体" w:hAnsi="新宋体" w:eastAsia="新宋体" w:cs="新宋体"/>
                <w:szCs w:val="21"/>
              </w:rPr>
            </w:pPr>
            <w:r>
              <w:rPr>
                <w:rFonts w:hint="eastAsia" w:ascii="新宋体" w:hAnsi="新宋体" w:eastAsia="新宋体" w:cs="新宋体"/>
                <w:szCs w:val="21"/>
              </w:rPr>
              <w:t>（1）基本要求：为确保兼容性，本项白板软件须与一体机同一品牌，且处于同一个软件环境下实现，不接受多套软件组合参加投标，中标签订合同前须提供相应软件著作权证明复印件</w:t>
            </w:r>
          </w:p>
          <w:p>
            <w:pPr>
              <w:rPr>
                <w:rFonts w:hint="eastAsia" w:ascii="新宋体" w:hAnsi="新宋体" w:eastAsia="新宋体" w:cs="新宋体"/>
                <w:szCs w:val="21"/>
              </w:rPr>
            </w:pPr>
            <w:r>
              <w:rPr>
                <w:rFonts w:hint="eastAsia" w:ascii="新宋体" w:hAnsi="新宋体" w:eastAsia="新宋体" w:cs="新宋体"/>
                <w:szCs w:val="21"/>
              </w:rPr>
              <w:t>（2）白板软件功能要求：</w:t>
            </w:r>
          </w:p>
          <w:p>
            <w:pPr>
              <w:rPr>
                <w:rFonts w:hint="eastAsia" w:ascii="新宋体" w:hAnsi="新宋体" w:eastAsia="新宋体" w:cs="新宋体"/>
                <w:szCs w:val="21"/>
              </w:rPr>
            </w:pPr>
            <w:r>
              <w:rPr>
                <w:rFonts w:hint="eastAsia" w:ascii="新宋体" w:hAnsi="新宋体" w:eastAsia="新宋体" w:cs="新宋体"/>
                <w:szCs w:val="21"/>
              </w:rPr>
              <w:t>1.备授课一体化，具有备课模式及授课模式， 且操作界面根据备课和授课使用场景不同而区别设计，符合用户使用需求。</w:t>
            </w:r>
          </w:p>
          <w:p>
            <w:pPr>
              <w:rPr>
                <w:rFonts w:hint="eastAsia" w:ascii="新宋体" w:hAnsi="新宋体" w:eastAsia="新宋体" w:cs="新宋体"/>
                <w:szCs w:val="21"/>
              </w:rPr>
            </w:pPr>
            <w:r>
              <w:rPr>
                <w:rFonts w:hint="eastAsia" w:ascii="新宋体" w:hAnsi="新宋体" w:eastAsia="新宋体" w:cs="新宋体"/>
                <w:szCs w:val="21"/>
              </w:rPr>
              <w:t>2.备课模式工具栏会自动根据老师账号中关联的学科不同而提供相对应的教学工具， 例如语文学科会出现田字格工具， 数学学科则出现几何工具，无需老师自行选择。</w:t>
            </w:r>
          </w:p>
          <w:p>
            <w:pPr>
              <w:rPr>
                <w:rFonts w:hint="eastAsia" w:ascii="新宋体" w:hAnsi="新宋体" w:eastAsia="新宋体" w:cs="新宋体"/>
                <w:szCs w:val="21"/>
              </w:rPr>
            </w:pPr>
            <w:r>
              <w:rPr>
                <w:rFonts w:hint="eastAsia" w:ascii="新宋体" w:hAnsi="新宋体" w:eastAsia="新宋体" w:cs="新宋体"/>
                <w:szCs w:val="21"/>
              </w:rPr>
              <w:t>3.支持课件云存储，无需使用 U 盘等存储设备，老师只需联网登录即可获取云课件， 并支持课件云分享，可将课件直接分享给其他用户，只需输入其他用户移动终端号即可。</w:t>
            </w:r>
          </w:p>
          <w:p>
            <w:pPr>
              <w:rPr>
                <w:rFonts w:hint="eastAsia" w:ascii="新宋体" w:hAnsi="新宋体" w:eastAsia="新宋体" w:cs="新宋体"/>
                <w:szCs w:val="21"/>
              </w:rPr>
            </w:pPr>
            <w:r>
              <w:rPr>
                <w:rFonts w:hint="eastAsia" w:ascii="新宋体" w:hAnsi="新宋体" w:eastAsia="新宋体" w:cs="新宋体"/>
                <w:szCs w:val="21"/>
              </w:rPr>
              <w:t>4.教学课程短视频：提供超过2000个微课程视频，涵盖小学、初中、高中，每个学段不少于三个主要学科；提供在线流媒体播放、一键下载至课件两种使用方式，方便老师在备课或课堂中随时插入生动有趣的知识点讲解；支持老师在视频任意时间点打点，播放过程中可一键跳转到打点位置，同时也可一键截图至课件。</w:t>
            </w:r>
          </w:p>
          <w:p>
            <w:pPr>
              <w:rPr>
                <w:rFonts w:hint="eastAsia" w:ascii="新宋体" w:hAnsi="新宋体" w:eastAsia="新宋体" w:cs="新宋体"/>
                <w:szCs w:val="21"/>
              </w:rPr>
            </w:pPr>
            <w:r>
              <w:rPr>
                <w:rFonts w:hint="eastAsia" w:ascii="新宋体" w:hAnsi="新宋体" w:eastAsia="新宋体" w:cs="新宋体"/>
                <w:szCs w:val="21"/>
              </w:rPr>
              <w:t>5.支持用户一键云同步所有已在软件中打开编辑的课件，无需逐一保存，节省备课时间。同时对于未同步成功的课件，软件将进行提示，保障所有课件都为最新修改内容。</w:t>
            </w:r>
          </w:p>
          <w:p>
            <w:pPr>
              <w:rPr>
                <w:rFonts w:hint="eastAsia" w:ascii="新宋体" w:hAnsi="新宋体" w:eastAsia="新宋体" w:cs="新宋体"/>
                <w:szCs w:val="21"/>
              </w:rPr>
            </w:pPr>
            <w:r>
              <w:rPr>
                <w:rFonts w:hint="eastAsia" w:ascii="新宋体" w:hAnsi="新宋体" w:eastAsia="新宋体" w:cs="新宋体"/>
                <w:szCs w:val="21"/>
              </w:rPr>
              <w:t>★6.互动分类游戏： 支持创建互动分类游戏，可自定义不同类别及相对应的对象， 实现将不同对象拖拽到对应的类别容器中可自动辨识分类， 分类正确或错误均有相应提示。 类别和对象的样式、 数量均可以自定义设置。 系统需提供不少于 20 种游戏模板，直接选择并输入相应内容即可轻松生成互动分类游戏，提升课堂趣味性。</w:t>
            </w:r>
          </w:p>
          <w:p>
            <w:pPr>
              <w:rPr>
                <w:rFonts w:hint="eastAsia" w:ascii="新宋体" w:hAnsi="新宋体" w:eastAsia="新宋体" w:cs="新宋体"/>
                <w:szCs w:val="21"/>
              </w:rPr>
            </w:pPr>
            <w:r>
              <w:rPr>
                <w:rFonts w:hint="eastAsia" w:ascii="新宋体" w:hAnsi="新宋体" w:eastAsia="新宋体" w:cs="新宋体"/>
                <w:szCs w:val="21"/>
              </w:rPr>
              <w:t>7.支持软件联网自动静默升级，无需用户手动更新。</w:t>
            </w:r>
          </w:p>
          <w:p>
            <w:pPr>
              <w:rPr>
                <w:rFonts w:hint="eastAsia" w:ascii="新宋体" w:hAnsi="新宋体" w:eastAsia="新宋体" w:cs="新宋体"/>
                <w:szCs w:val="21"/>
              </w:rPr>
            </w:pPr>
            <w:r>
              <w:rPr>
                <w:rFonts w:hint="eastAsia" w:ascii="新宋体" w:hAnsi="新宋体" w:eastAsia="新宋体" w:cs="新宋体"/>
                <w:szCs w:val="21"/>
              </w:rPr>
              <w:t>8.课件背景：提供不少于12 种以上背景模板供老师选择，持自定义背景。</w:t>
            </w:r>
          </w:p>
          <w:p>
            <w:pPr>
              <w:rPr>
                <w:rFonts w:hint="eastAsia" w:ascii="新宋体" w:hAnsi="新宋体" w:eastAsia="新宋体" w:cs="新宋体"/>
                <w:szCs w:val="21"/>
              </w:rPr>
            </w:pPr>
            <w:r>
              <w:rPr>
                <w:rFonts w:hint="eastAsia" w:ascii="新宋体" w:hAnsi="新宋体" w:eastAsia="新宋体" w:cs="新宋体"/>
                <w:szCs w:val="21"/>
              </w:rPr>
              <w:t>9.美术画板：支持美术画板工具，提供铅笔、毛笔、油画笔，可实现模拟调色盘功能，老师可自由选择不同颜色进行混合调色，搭配出任意色彩。</w:t>
            </w:r>
          </w:p>
          <w:p>
            <w:pPr>
              <w:rPr>
                <w:rFonts w:hint="eastAsia" w:ascii="新宋体" w:hAnsi="新宋体" w:eastAsia="新宋体" w:cs="新宋体"/>
                <w:szCs w:val="21"/>
              </w:rPr>
            </w:pPr>
            <w:r>
              <w:rPr>
                <w:rFonts w:hint="eastAsia" w:ascii="新宋体" w:hAnsi="新宋体" w:eastAsia="新宋体" w:cs="新宋体"/>
                <w:szCs w:val="21"/>
              </w:rPr>
              <w:t>10.快捷抠图：无需借助专业图片处理软件，即可在白板软件中对导入的图片进行快捷抠图、去背景，处理后的图片主体边缘没有明显毛边，可导出保存成 PNG 格式。</w:t>
            </w:r>
          </w:p>
          <w:p>
            <w:pPr>
              <w:rPr>
                <w:rFonts w:hint="eastAsia" w:ascii="新宋体" w:hAnsi="新宋体" w:eastAsia="新宋体" w:cs="新宋体"/>
                <w:szCs w:val="21"/>
              </w:rPr>
            </w:pPr>
            <w:r>
              <w:rPr>
                <w:rFonts w:hint="eastAsia" w:ascii="新宋体" w:hAnsi="新宋体" w:eastAsia="新宋体" w:cs="新宋体"/>
                <w:szCs w:val="21"/>
              </w:rPr>
              <w:t>11.复现教学工具：可以在备课时，对输入的文本、图片、形状设置图层进行隐藏，授课模式下可通过擦除图层展现隐藏内容，丰富课件互动展示效果。</w:t>
            </w:r>
          </w:p>
          <w:p>
            <w:pPr>
              <w:rPr>
                <w:rFonts w:hint="eastAsia" w:ascii="新宋体" w:hAnsi="新宋体" w:eastAsia="新宋体" w:cs="新宋体"/>
                <w:szCs w:val="21"/>
              </w:rPr>
            </w:pPr>
            <w:r>
              <w:rPr>
                <w:rFonts w:hint="eastAsia" w:ascii="新宋体" w:hAnsi="新宋体" w:eastAsia="新宋体" w:cs="新宋体"/>
                <w:szCs w:val="21"/>
              </w:rPr>
              <w:t>12.思维导图：提供思维导图、鱼骨图及组织结构图编辑功能，可轻松增删或拖拽编辑内容节点，并支持在节点上插入图片、音频、视频、网页链接、课件页面链接。支持思维导图逐级、逐个节点展开，并可任意缩放，满足不同演示需求。</w:t>
            </w:r>
          </w:p>
          <w:p>
            <w:pPr>
              <w:rPr>
                <w:rFonts w:hint="eastAsia" w:ascii="新宋体" w:hAnsi="新宋体" w:eastAsia="新宋体" w:cs="新宋体"/>
                <w:szCs w:val="21"/>
              </w:rPr>
            </w:pPr>
            <w:r>
              <w:rPr>
                <w:rFonts w:hint="eastAsia" w:ascii="新宋体" w:hAnsi="新宋体" w:eastAsia="新宋体" w:cs="新宋体"/>
                <w:szCs w:val="21"/>
              </w:rPr>
              <w:t>★13.数学公式编辑器：支持复杂数学公式输入，提供不少于 20 个数学符号及15个模板，输出的公式内容支持不同颜色标记及二次编辑。</w:t>
            </w:r>
          </w:p>
          <w:p>
            <w:pPr>
              <w:rPr>
                <w:rFonts w:hint="eastAsia" w:ascii="新宋体" w:hAnsi="新宋体" w:eastAsia="新宋体" w:cs="新宋体"/>
                <w:szCs w:val="21"/>
              </w:rPr>
            </w:pPr>
            <w:r>
              <w:rPr>
                <w:rFonts w:hint="eastAsia" w:ascii="新宋体" w:hAnsi="新宋体" w:eastAsia="新宋体" w:cs="新宋体"/>
                <w:szCs w:val="21"/>
              </w:rPr>
              <w:t>14. 古诗词资源：</w:t>
            </w:r>
          </w:p>
          <w:p>
            <w:pPr>
              <w:rPr>
                <w:rFonts w:hint="eastAsia" w:ascii="新宋体" w:hAnsi="新宋体" w:eastAsia="新宋体" w:cs="新宋体"/>
                <w:szCs w:val="21"/>
              </w:rPr>
            </w:pPr>
            <w:r>
              <w:rPr>
                <w:rFonts w:hint="eastAsia" w:ascii="新宋体" w:hAnsi="新宋体" w:eastAsia="新宋体" w:cs="新宋体"/>
                <w:szCs w:val="21"/>
              </w:rPr>
              <w:t>①提供覆盖小学、初中、高中的古诗词、古文资源，包含原文、翻译、背景介绍、作者介绍、朗诵音频等。</w:t>
            </w:r>
          </w:p>
          <w:p>
            <w:pPr>
              <w:rPr>
                <w:rFonts w:hint="eastAsia" w:ascii="新宋体" w:hAnsi="新宋体" w:eastAsia="新宋体" w:cs="新宋体"/>
                <w:szCs w:val="21"/>
              </w:rPr>
            </w:pPr>
            <w:r>
              <w:rPr>
                <w:rFonts w:hint="eastAsia" w:ascii="新宋体" w:hAnsi="新宋体" w:eastAsia="新宋体" w:cs="新宋体"/>
                <w:szCs w:val="21"/>
              </w:rPr>
              <w:t>②支持用户根据年级、朝代、诗人等进行分类查找，也可直接搜索诗词、古文名称或作者名查找。</w:t>
            </w:r>
          </w:p>
          <w:p>
            <w:pPr>
              <w:rPr>
                <w:rFonts w:hint="eastAsia" w:ascii="新宋体" w:hAnsi="新宋体" w:eastAsia="新宋体" w:cs="新宋体"/>
                <w:szCs w:val="21"/>
              </w:rPr>
            </w:pPr>
            <w:r>
              <w:rPr>
                <w:rFonts w:hint="eastAsia" w:ascii="新宋体" w:hAnsi="新宋体" w:eastAsia="新宋体" w:cs="新宋体"/>
                <w:szCs w:val="21"/>
              </w:rPr>
              <w:t>③提供不少于9种古诗词专用背景模板，老师可贴合古诗词意境选择合适背景进行教学。</w:t>
            </w:r>
          </w:p>
          <w:p>
            <w:pPr>
              <w:rPr>
                <w:rFonts w:hint="eastAsia" w:ascii="新宋体" w:hAnsi="新宋体" w:eastAsia="新宋体" w:cs="新宋体"/>
                <w:szCs w:val="21"/>
              </w:rPr>
            </w:pPr>
            <w:r>
              <w:rPr>
                <w:rFonts w:hint="eastAsia" w:ascii="新宋体" w:hAnsi="新宋体" w:eastAsia="新宋体" w:cs="新宋体"/>
                <w:szCs w:val="21"/>
              </w:rPr>
              <w:t>④每篇古诗词、古文均提供原文及翻译、背景介绍、作者介绍等，同时支持一键跳转打开网页，展示对应的背景或作者介绍。</w:t>
            </w:r>
          </w:p>
          <w:p>
            <w:pPr>
              <w:rPr>
                <w:rFonts w:hint="eastAsia" w:ascii="新宋体" w:hAnsi="新宋体" w:eastAsia="新宋体" w:cs="新宋体"/>
                <w:szCs w:val="21"/>
              </w:rPr>
            </w:pPr>
            <w:r>
              <w:rPr>
                <w:rFonts w:hint="eastAsia" w:ascii="新宋体" w:hAnsi="新宋体" w:eastAsia="新宋体" w:cs="新宋体"/>
                <w:szCs w:val="21"/>
              </w:rPr>
              <w:t>⑤支持老师备课时对原文进行注释、标重点等操作，方便老师讲解重点字词。</w:t>
            </w:r>
          </w:p>
          <w:p>
            <w:pPr>
              <w:rPr>
                <w:rFonts w:hint="eastAsia" w:ascii="新宋体" w:hAnsi="新宋体" w:eastAsia="新宋体" w:cs="新宋体"/>
                <w:szCs w:val="21"/>
              </w:rPr>
            </w:pPr>
            <w:r>
              <w:rPr>
                <w:rFonts w:hint="eastAsia" w:ascii="新宋体" w:hAnsi="新宋体" w:eastAsia="新宋体" w:cs="新宋体"/>
                <w:szCs w:val="21"/>
              </w:rPr>
              <w:t>⑥提供原文朗读功能，全部诗词、古文均配备专业朗读配音，且支持老师在备课时对朗读音频进行打点操作，上课时可播放提前选择好的片段。</w:t>
            </w:r>
          </w:p>
          <w:p>
            <w:pPr>
              <w:rPr>
                <w:rFonts w:hint="eastAsia" w:ascii="新宋体" w:hAnsi="新宋体" w:eastAsia="新宋体" w:cs="新宋体"/>
                <w:szCs w:val="21"/>
              </w:rPr>
            </w:pPr>
            <w:r>
              <w:rPr>
                <w:rFonts w:hint="eastAsia" w:ascii="新宋体" w:hAnsi="新宋体" w:eastAsia="新宋体" w:cs="新宋体"/>
                <w:szCs w:val="21"/>
              </w:rPr>
              <w:t>★15. 3D星球模型：提供3D立体星球模型，包括地球、太阳、火星、水星等太阳系行星，支持360°自由旋转、缩放展示；并支持在地球教学工具中，清晰展现地球表面的六大板块、降水分布、气温分布、气候分布、人口分布、表层洋流、陆地自然带、海平面等压线等内容；且支持三维、二维切换展示，方便地理学科教学。</w:t>
            </w:r>
          </w:p>
          <w:p>
            <w:pPr>
              <w:rPr>
                <w:rFonts w:hint="eastAsia" w:ascii="新宋体" w:hAnsi="新宋体" w:eastAsia="新宋体" w:cs="新宋体"/>
                <w:szCs w:val="21"/>
              </w:rPr>
            </w:pPr>
            <w:r>
              <w:rPr>
                <w:rFonts w:hint="eastAsia" w:ascii="新宋体" w:hAnsi="新宋体" w:eastAsia="新宋体" w:cs="新宋体"/>
                <w:szCs w:val="21"/>
              </w:rPr>
              <w:t>16.多学科题库：</w:t>
            </w:r>
          </w:p>
          <w:p>
            <w:pPr>
              <w:rPr>
                <w:rFonts w:hint="eastAsia" w:ascii="新宋体" w:hAnsi="新宋体" w:eastAsia="新宋体" w:cs="新宋体"/>
                <w:szCs w:val="21"/>
              </w:rPr>
            </w:pPr>
            <w:r>
              <w:rPr>
                <w:rFonts w:hint="eastAsia" w:ascii="新宋体" w:hAnsi="新宋体" w:eastAsia="新宋体" w:cs="新宋体"/>
                <w:szCs w:val="21"/>
              </w:rPr>
              <w:t>①提供不少于30万道试题供老师使用。</w:t>
            </w:r>
          </w:p>
          <w:p>
            <w:pPr>
              <w:rPr>
                <w:rFonts w:hint="eastAsia" w:ascii="新宋体" w:hAnsi="新宋体" w:eastAsia="新宋体" w:cs="新宋体"/>
                <w:szCs w:val="21"/>
              </w:rPr>
            </w:pPr>
            <w:r>
              <w:rPr>
                <w:rFonts w:hint="eastAsia" w:ascii="新宋体" w:hAnsi="新宋体" w:eastAsia="新宋体" w:cs="新宋体"/>
                <w:szCs w:val="21"/>
              </w:rPr>
              <w:t>②涵盖小学、初中、高中，其中中学部分包含语文、数学、英语、物理、化学、生物、政治、历史、地理等9大学科。</w:t>
            </w:r>
          </w:p>
          <w:p>
            <w:pPr>
              <w:rPr>
                <w:rFonts w:hint="eastAsia" w:ascii="新宋体" w:hAnsi="新宋体" w:eastAsia="新宋体" w:cs="新宋体"/>
                <w:szCs w:val="21"/>
              </w:rPr>
            </w:pPr>
            <w:r>
              <w:rPr>
                <w:rFonts w:hint="eastAsia" w:ascii="新宋体" w:hAnsi="新宋体" w:eastAsia="新宋体" w:cs="新宋体"/>
                <w:szCs w:val="21"/>
              </w:rPr>
              <w:t>③题库总知识点不少于9000个，除选择、填空、判断等基本题型外，还包含诗歌阅读、完形填空、阅读理解、辨析题、材料题、实验题、作图题等。</w:t>
            </w:r>
          </w:p>
          <w:p>
            <w:pPr>
              <w:rPr>
                <w:rFonts w:hint="eastAsia" w:ascii="新宋体" w:hAnsi="新宋体" w:eastAsia="新宋体" w:cs="新宋体"/>
                <w:szCs w:val="21"/>
              </w:rPr>
            </w:pPr>
            <w:r>
              <w:rPr>
                <w:rFonts w:hint="eastAsia" w:ascii="新宋体" w:hAnsi="新宋体" w:eastAsia="新宋体" w:cs="新宋体"/>
                <w:szCs w:val="21"/>
              </w:rPr>
              <w:t>④可批量选择多题并以交互式试题卡的形式插入到白板中。试题卡包含题干、答案和解析，并可一键实时展开、收起答案和解析。</w:t>
            </w:r>
          </w:p>
          <w:p>
            <w:pPr>
              <w:rPr>
                <w:rFonts w:hint="eastAsia" w:ascii="新宋体" w:hAnsi="新宋体" w:eastAsia="新宋体" w:cs="新宋体"/>
                <w:szCs w:val="21"/>
              </w:rPr>
            </w:pPr>
            <w:r>
              <w:rPr>
                <w:rFonts w:hint="eastAsia" w:ascii="新宋体" w:hAnsi="新宋体" w:eastAsia="新宋体" w:cs="新宋体"/>
                <w:szCs w:val="21"/>
              </w:rPr>
              <w:t>★17.立体几何：</w:t>
            </w:r>
          </w:p>
          <w:p>
            <w:pPr>
              <w:rPr>
                <w:rFonts w:hint="eastAsia" w:ascii="新宋体" w:hAnsi="新宋体" w:eastAsia="新宋体" w:cs="新宋体"/>
                <w:szCs w:val="21"/>
              </w:rPr>
            </w:pPr>
            <w:r>
              <w:rPr>
                <w:rFonts w:hint="eastAsia" w:ascii="新宋体" w:hAnsi="新宋体" w:eastAsia="新宋体" w:cs="新宋体"/>
                <w:szCs w:val="21"/>
              </w:rPr>
              <w:t>①支持绘制立方体、圆柱体等立体几何图形。</w:t>
            </w:r>
          </w:p>
          <w:p>
            <w:pPr>
              <w:rPr>
                <w:rFonts w:hint="eastAsia" w:ascii="新宋体" w:hAnsi="新宋体" w:eastAsia="新宋体" w:cs="新宋体"/>
                <w:szCs w:val="21"/>
              </w:rPr>
            </w:pPr>
            <w:r>
              <w:rPr>
                <w:rFonts w:hint="eastAsia" w:ascii="新宋体" w:hAnsi="新宋体" w:eastAsia="新宋体" w:cs="新宋体"/>
                <w:szCs w:val="21"/>
              </w:rPr>
              <w:t>②支持任意调节立体几何图形的尺寸，改变长宽高比例。</w:t>
            </w:r>
          </w:p>
          <w:p>
            <w:pPr>
              <w:rPr>
                <w:rFonts w:hint="eastAsia" w:ascii="新宋体" w:hAnsi="新宋体" w:eastAsia="新宋体" w:cs="新宋体"/>
                <w:szCs w:val="21"/>
              </w:rPr>
            </w:pPr>
            <w:r>
              <w:rPr>
                <w:rFonts w:hint="eastAsia" w:ascii="新宋体" w:hAnsi="新宋体" w:eastAsia="新宋体" w:cs="新宋体"/>
                <w:szCs w:val="21"/>
              </w:rPr>
              <w:t>③支持沿任意方向旋转立体几何。</w:t>
            </w:r>
          </w:p>
          <w:p>
            <w:pPr>
              <w:rPr>
                <w:rFonts w:hint="eastAsia" w:ascii="新宋体" w:hAnsi="新宋体" w:eastAsia="新宋体" w:cs="新宋体"/>
                <w:szCs w:val="21"/>
              </w:rPr>
            </w:pPr>
            <w:r>
              <w:rPr>
                <w:rFonts w:hint="eastAsia" w:ascii="新宋体" w:hAnsi="新宋体" w:eastAsia="新宋体" w:cs="新宋体"/>
                <w:szCs w:val="21"/>
              </w:rPr>
              <w:t>④支持为长方体6个面分别涂色，并且可通过任意旋转观察涂色与未涂色的表面</w:t>
            </w:r>
          </w:p>
          <w:p>
            <w:pPr>
              <w:rPr>
                <w:rFonts w:hint="eastAsia" w:ascii="新宋体" w:hAnsi="新宋体" w:eastAsia="新宋体" w:cs="新宋体"/>
                <w:szCs w:val="21"/>
              </w:rPr>
            </w:pPr>
            <w:r>
              <w:rPr>
                <w:rFonts w:hint="eastAsia" w:ascii="新宋体" w:hAnsi="新宋体" w:eastAsia="新宋体" w:cs="新宋体"/>
                <w:szCs w:val="21"/>
              </w:rPr>
              <w:t>18.数学画板功能：</w:t>
            </w:r>
          </w:p>
          <w:p>
            <w:pPr>
              <w:rPr>
                <w:rFonts w:hint="eastAsia" w:ascii="新宋体" w:hAnsi="新宋体" w:eastAsia="新宋体" w:cs="新宋体"/>
                <w:szCs w:val="21"/>
              </w:rPr>
            </w:pPr>
            <w:r>
              <w:rPr>
                <w:rFonts w:hint="eastAsia" w:ascii="新宋体" w:hAnsi="新宋体" w:eastAsia="新宋体" w:cs="新宋体"/>
                <w:szCs w:val="21"/>
              </w:rPr>
              <w:t>①支持在白板中插入在线画板，授课时可以一键打开,方便老师配合课件内容进行讲解。</w:t>
            </w:r>
          </w:p>
          <w:p>
            <w:pPr>
              <w:rPr>
                <w:rFonts w:hint="eastAsia" w:ascii="新宋体" w:hAnsi="新宋体" w:eastAsia="新宋体" w:cs="新宋体"/>
                <w:szCs w:val="21"/>
              </w:rPr>
            </w:pPr>
            <w:r>
              <w:rPr>
                <w:rFonts w:hint="eastAsia" w:ascii="新宋体" w:hAnsi="新宋体" w:eastAsia="新宋体" w:cs="新宋体"/>
                <w:szCs w:val="21"/>
              </w:rPr>
              <w:t>②提供超过500个数学画板资源，覆盖小学、初中、高中学段数学学科主要知识点，并按照知识点分类，便于老师查找。</w:t>
            </w:r>
          </w:p>
          <w:p>
            <w:pPr>
              <w:rPr>
                <w:rFonts w:hint="eastAsia" w:ascii="新宋体" w:hAnsi="新宋体" w:eastAsia="新宋体" w:cs="新宋体"/>
                <w:szCs w:val="21"/>
              </w:rPr>
            </w:pPr>
            <w:r>
              <w:rPr>
                <w:rFonts w:hint="eastAsia" w:ascii="新宋体" w:hAnsi="新宋体" w:eastAsia="新宋体" w:cs="新宋体"/>
                <w:szCs w:val="21"/>
              </w:rPr>
              <w:t>③画板资源互动性强，利于老师讲解抽象知识点，如小学阶段的四边形互相转换资源，可支持点击，动态切换四边形形态；中学阶段的平方差公式资源，可支持图形展示平方差公式计算原理，并可改变数值，重复演示。</w:t>
            </w:r>
          </w:p>
          <w:p>
            <w:pPr>
              <w:rPr>
                <w:rFonts w:hint="eastAsia" w:ascii="新宋体" w:hAnsi="新宋体" w:eastAsia="新宋体" w:cs="新宋体"/>
                <w:szCs w:val="21"/>
              </w:rPr>
            </w:pPr>
            <w:r>
              <w:rPr>
                <w:rFonts w:hint="eastAsia" w:ascii="新宋体" w:hAnsi="新宋体" w:eastAsia="新宋体" w:cs="新宋体"/>
                <w:szCs w:val="21"/>
              </w:rPr>
              <w:t>④支持老师创建个人画板，除了点、线、面等基础元素以外，画板还可提供线段中点、椭圆焦点、极坐标方程等数十种数学常用工具，保证老师日常备授课所需。创建完成后，老师可一键将画板插入白板，与课件无缝连接。</w:t>
            </w:r>
          </w:p>
          <w:p>
            <w:pPr>
              <w:rPr>
                <w:rFonts w:hint="eastAsia" w:ascii="新宋体" w:hAnsi="新宋体" w:eastAsia="新宋体" w:cs="新宋体"/>
                <w:szCs w:val="21"/>
              </w:rPr>
            </w:pPr>
            <w:r>
              <w:rPr>
                <w:rFonts w:hint="eastAsia" w:ascii="新宋体" w:hAnsi="新宋体" w:eastAsia="新宋体" w:cs="新宋体"/>
                <w:szCs w:val="21"/>
              </w:rPr>
              <w:t>19.课堂小测：提供不少于40000道初中数学试题。</w:t>
            </w:r>
          </w:p>
          <w:p>
            <w:pPr>
              <w:rPr>
                <w:rFonts w:hint="eastAsia" w:ascii="新宋体" w:hAnsi="新宋体" w:eastAsia="新宋体" w:cs="新宋体"/>
                <w:szCs w:val="21"/>
              </w:rPr>
            </w:pPr>
            <w:r>
              <w:rPr>
                <w:rFonts w:hint="eastAsia" w:ascii="新宋体" w:hAnsi="新宋体" w:eastAsia="新宋体" w:cs="新宋体"/>
                <w:szCs w:val="21"/>
              </w:rPr>
              <w:t>（1）老师可根据所使用教材版本自由选择人教新版、苏科新版、北师大版、北京课改新版等不同版本试题。</w:t>
            </w:r>
          </w:p>
          <w:p>
            <w:pPr>
              <w:rPr>
                <w:rFonts w:hint="eastAsia" w:ascii="新宋体" w:hAnsi="新宋体" w:eastAsia="新宋体" w:cs="新宋体"/>
                <w:szCs w:val="21"/>
              </w:rPr>
            </w:pPr>
            <w:r>
              <w:rPr>
                <w:rFonts w:hint="eastAsia" w:ascii="新宋体" w:hAnsi="新宋体" w:eastAsia="新宋体" w:cs="新宋体"/>
                <w:szCs w:val="21"/>
              </w:rPr>
              <w:t>（2）试题按照教学进度分类，精确到每一章每一节，方便老师查找。</w:t>
            </w:r>
          </w:p>
          <w:p>
            <w:pPr>
              <w:rPr>
                <w:rFonts w:hint="eastAsia" w:ascii="新宋体" w:hAnsi="新宋体" w:eastAsia="新宋体" w:cs="新宋体"/>
                <w:szCs w:val="21"/>
              </w:rPr>
            </w:pPr>
            <w:r>
              <w:rPr>
                <w:rFonts w:hint="eastAsia" w:ascii="新宋体" w:hAnsi="新宋体" w:eastAsia="新宋体" w:cs="新宋体"/>
                <w:szCs w:val="21"/>
              </w:rPr>
              <w:t>（3）试题按照使用场景分类，分为课堂小测、课时练习、课后基础、课后提高等，方便老师在不同场景下选择。</w:t>
            </w:r>
          </w:p>
          <w:p>
            <w:pPr>
              <w:rPr>
                <w:rFonts w:hint="eastAsia" w:ascii="新宋体" w:hAnsi="新宋体" w:eastAsia="新宋体" w:cs="新宋体"/>
                <w:szCs w:val="21"/>
              </w:rPr>
            </w:pPr>
            <w:r>
              <w:rPr>
                <w:rFonts w:hint="eastAsia" w:ascii="新宋体" w:hAnsi="新宋体" w:eastAsia="新宋体" w:cs="新宋体"/>
                <w:szCs w:val="21"/>
              </w:rPr>
              <w:t>（4）题目已根据老师使用需要，组成套题，老师可一键批量选择；同时也支持老师自由组题，形成个性化套。</w:t>
            </w:r>
          </w:p>
          <w:p>
            <w:pPr>
              <w:rPr>
                <w:rFonts w:hint="eastAsia" w:ascii="新宋体" w:hAnsi="新宋体" w:eastAsia="新宋体" w:cs="新宋体"/>
                <w:szCs w:val="21"/>
              </w:rPr>
            </w:pPr>
            <w:r>
              <w:rPr>
                <w:rFonts w:hint="eastAsia" w:ascii="新宋体" w:hAnsi="新宋体" w:eastAsia="新宋体" w:cs="新宋体"/>
                <w:szCs w:val="21"/>
              </w:rPr>
              <w:t>20.表格工具：</w:t>
            </w:r>
          </w:p>
          <w:p>
            <w:pPr>
              <w:rPr>
                <w:rFonts w:hint="eastAsia" w:ascii="新宋体" w:hAnsi="新宋体" w:eastAsia="新宋体" w:cs="新宋体"/>
                <w:szCs w:val="21"/>
              </w:rPr>
            </w:pPr>
            <w:r>
              <w:rPr>
                <w:rFonts w:hint="eastAsia" w:ascii="新宋体" w:hAnsi="新宋体" w:eastAsia="新宋体" w:cs="新宋体"/>
                <w:szCs w:val="21"/>
              </w:rPr>
              <w:t>（1）支持老师插入表格，并提供5种以上表格样式供老师选择。</w:t>
            </w:r>
          </w:p>
          <w:p>
            <w:pPr>
              <w:rPr>
                <w:rFonts w:hint="eastAsia" w:ascii="新宋体" w:hAnsi="新宋体" w:eastAsia="新宋体" w:cs="新宋体"/>
                <w:szCs w:val="21"/>
              </w:rPr>
            </w:pPr>
            <w:r>
              <w:rPr>
                <w:rFonts w:hint="eastAsia" w:ascii="新宋体" w:hAnsi="新宋体" w:eastAsia="新宋体" w:cs="新宋体"/>
                <w:szCs w:val="21"/>
              </w:rPr>
              <w:t>（2）支持表格自适应，可一键将表格的行、列调整到最合适的大小。</w:t>
            </w:r>
          </w:p>
          <w:p>
            <w:pPr>
              <w:rPr>
                <w:rFonts w:hint="eastAsia" w:ascii="新宋体" w:hAnsi="新宋体" w:eastAsia="新宋体" w:cs="新宋体"/>
                <w:szCs w:val="21"/>
              </w:rPr>
            </w:pPr>
            <w:r>
              <w:rPr>
                <w:rFonts w:hint="eastAsia" w:ascii="新宋体" w:hAnsi="新宋体" w:eastAsia="新宋体" w:cs="新宋体"/>
                <w:szCs w:val="21"/>
              </w:rPr>
              <w:t>（3）支持表格遮罩功能，可对表格中任意一格添加遮罩，在授课模式下通过点击可消除遮罩，方便老师设置互动活动。</w:t>
            </w:r>
          </w:p>
          <w:p>
            <w:pPr>
              <w:rPr>
                <w:rFonts w:hint="eastAsia" w:ascii="新宋体" w:hAnsi="新宋体" w:eastAsia="新宋体" w:cs="新宋体"/>
                <w:szCs w:val="21"/>
              </w:rPr>
            </w:pPr>
            <w:r>
              <w:rPr>
                <w:rFonts w:hint="eastAsia" w:ascii="新宋体" w:hAnsi="新宋体" w:eastAsia="新宋体" w:cs="新宋体"/>
                <w:szCs w:val="21"/>
              </w:rPr>
              <w:t>（4）在授课模式下，支持表格克隆功能，可克隆出多个相同表格，方便老师请多位同学进行答题互动。</w:t>
            </w:r>
          </w:p>
          <w:p>
            <w:pPr>
              <w:rPr>
                <w:rFonts w:hint="eastAsia" w:ascii="新宋体" w:hAnsi="新宋体" w:eastAsia="新宋体" w:cs="新宋体"/>
                <w:szCs w:val="21"/>
              </w:rPr>
            </w:pPr>
            <w:r>
              <w:rPr>
                <w:rFonts w:hint="eastAsia" w:ascii="新宋体" w:hAnsi="新宋体" w:eastAsia="新宋体" w:cs="新宋体"/>
                <w:szCs w:val="21"/>
              </w:rPr>
              <w:t>八、班级管理软件：</w:t>
            </w:r>
          </w:p>
          <w:p>
            <w:pPr>
              <w:rPr>
                <w:rFonts w:hint="eastAsia" w:ascii="新宋体" w:hAnsi="新宋体" w:eastAsia="新宋体" w:cs="新宋体"/>
                <w:szCs w:val="21"/>
              </w:rPr>
            </w:pPr>
            <w:r>
              <w:rPr>
                <w:rFonts w:hint="eastAsia" w:ascii="新宋体" w:hAnsi="新宋体" w:eastAsia="新宋体" w:cs="新宋体"/>
                <w:szCs w:val="21"/>
              </w:rPr>
              <w:t>1．学生行为评价系统，集成三大功能模块：基础信息管理、课堂表现评价家校互联互通，功能及操作均统一在同一软件平台同一账号体系实现。</w:t>
            </w:r>
          </w:p>
          <w:p>
            <w:pPr>
              <w:rPr>
                <w:rFonts w:hint="eastAsia" w:ascii="新宋体" w:hAnsi="新宋体" w:eastAsia="新宋体" w:cs="新宋体"/>
                <w:szCs w:val="21"/>
              </w:rPr>
            </w:pPr>
            <w:r>
              <w:rPr>
                <w:rFonts w:hint="eastAsia" w:ascii="新宋体" w:hAnsi="新宋体" w:eastAsia="新宋体" w:cs="新宋体"/>
                <w:szCs w:val="21"/>
              </w:rPr>
              <w:t>2．支持 PC客户端、PC 网页端、安卓移动终端端、苹果移动终端端登陆使用，且各个端的数据是互通的，方便老师随时随地对学生进行管理与评价。</w:t>
            </w:r>
          </w:p>
          <w:p>
            <w:pPr>
              <w:rPr>
                <w:rFonts w:hint="eastAsia" w:ascii="新宋体" w:hAnsi="新宋体" w:eastAsia="新宋体" w:cs="新宋体"/>
                <w:szCs w:val="21"/>
              </w:rPr>
            </w:pPr>
            <w:r>
              <w:rPr>
                <w:rFonts w:hint="eastAsia" w:ascii="新宋体" w:hAnsi="新宋体" w:eastAsia="新宋体" w:cs="新宋体"/>
                <w:szCs w:val="21"/>
              </w:rPr>
              <w:t>3．支持多个老师管理同一个班级，从而满足一个班级有班主任和多个任课老师的实际情况。</w:t>
            </w:r>
          </w:p>
          <w:p>
            <w:pPr>
              <w:rPr>
                <w:rFonts w:hint="eastAsia" w:ascii="新宋体" w:hAnsi="新宋体" w:eastAsia="新宋体" w:cs="新宋体"/>
                <w:szCs w:val="21"/>
              </w:rPr>
            </w:pPr>
            <w:r>
              <w:rPr>
                <w:rFonts w:hint="eastAsia" w:ascii="新宋体" w:hAnsi="新宋体" w:eastAsia="新宋体" w:cs="新宋体"/>
                <w:szCs w:val="21"/>
              </w:rPr>
              <w:t>4.支持邀请家长入班，使家长可查看到自己的孩子在学校的各种表现。</w:t>
            </w:r>
          </w:p>
          <w:p>
            <w:pPr>
              <w:rPr>
                <w:rFonts w:hint="eastAsia" w:ascii="新宋体" w:hAnsi="新宋体" w:eastAsia="新宋体" w:cs="新宋体"/>
                <w:szCs w:val="21"/>
              </w:rPr>
            </w:pPr>
            <w:r>
              <w:rPr>
                <w:rFonts w:hint="eastAsia" w:ascii="新宋体" w:hAnsi="新宋体" w:eastAsia="新宋体" w:cs="新宋体"/>
                <w:szCs w:val="21"/>
              </w:rPr>
              <w:t>5.老师可通过移动端、PC端及网页端对学生、小组及班级进行行为评价，通过卡通游戏化的方式对学生进行表扬或提醒。</w:t>
            </w:r>
          </w:p>
          <w:p>
            <w:pPr>
              <w:rPr>
                <w:rFonts w:hint="eastAsia" w:ascii="新宋体" w:hAnsi="新宋体" w:eastAsia="新宋体" w:cs="新宋体"/>
                <w:szCs w:val="21"/>
              </w:rPr>
            </w:pPr>
            <w:r>
              <w:rPr>
                <w:rFonts w:hint="eastAsia" w:ascii="新宋体" w:hAnsi="新宋体" w:eastAsia="新宋体" w:cs="新宋体"/>
                <w:szCs w:val="21"/>
              </w:rPr>
              <w:t>6.支持查看课堂表现评价统计报表，按饼状图形式展现学生课堂表现情况，支持查看班级或学生个人的评价情况，并可具体查看到每一条评价的原因、对象、分值，便于老师做统计分析。</w:t>
            </w:r>
          </w:p>
          <w:p>
            <w:pPr>
              <w:rPr>
                <w:rFonts w:hint="eastAsia" w:ascii="新宋体" w:hAnsi="新宋体" w:eastAsia="新宋体" w:cs="新宋体"/>
                <w:szCs w:val="21"/>
              </w:rPr>
            </w:pPr>
            <w:r>
              <w:rPr>
                <w:rFonts w:hint="eastAsia" w:ascii="新宋体" w:hAnsi="新宋体" w:eastAsia="新宋体" w:cs="新宋体"/>
                <w:szCs w:val="21"/>
              </w:rPr>
              <w:t>九、大小屏互动软件</w:t>
            </w:r>
          </w:p>
          <w:p>
            <w:pPr>
              <w:rPr>
                <w:rFonts w:hint="eastAsia" w:ascii="新宋体" w:hAnsi="新宋体" w:eastAsia="新宋体" w:cs="新宋体"/>
                <w:szCs w:val="21"/>
              </w:rPr>
            </w:pPr>
            <w:r>
              <w:rPr>
                <w:rFonts w:hint="eastAsia" w:ascii="新宋体" w:hAnsi="新宋体" w:eastAsia="新宋体" w:cs="新宋体"/>
                <w:szCs w:val="21"/>
              </w:rPr>
              <w:t>★1.Andriod4.0以上或IOS 6.0以上版本系统的移动终端，可与交互智能平板实现无线连接，可对连接的设备进行密码的权限管理，支持二维码拍照自动连接服务器功能，无需手动设置网络，终端界面上主动监控并实时提示网络信号强度。</w:t>
            </w:r>
          </w:p>
          <w:p>
            <w:pPr>
              <w:rPr>
                <w:rFonts w:hint="eastAsia" w:ascii="新宋体" w:hAnsi="新宋体" w:eastAsia="新宋体" w:cs="新宋体"/>
                <w:szCs w:val="21"/>
              </w:rPr>
            </w:pPr>
            <w:r>
              <w:rPr>
                <w:rFonts w:hint="eastAsia" w:ascii="新宋体" w:hAnsi="新宋体" w:eastAsia="新宋体" w:cs="新宋体"/>
                <w:szCs w:val="21"/>
              </w:rPr>
              <w:t>2.可实现交互智能平板与手持终端屏幕同步显示，且支持双屏同步操作、大小屏双向批注、擦除、截图功能。</w:t>
            </w:r>
          </w:p>
          <w:p>
            <w:pPr>
              <w:rPr>
                <w:rFonts w:hint="eastAsia" w:ascii="新宋体" w:hAnsi="新宋体" w:eastAsia="新宋体" w:cs="新宋体"/>
                <w:szCs w:val="21"/>
              </w:rPr>
            </w:pPr>
            <w:r>
              <w:rPr>
                <w:rFonts w:hint="eastAsia" w:ascii="新宋体" w:hAnsi="新宋体" w:eastAsia="新宋体" w:cs="新宋体"/>
                <w:szCs w:val="21"/>
              </w:rPr>
              <w:t>3.支持模拟笔记本电脑触摸板功能，能够对智能平板进行远程控制，并有常用快键按键集成，如一键关闭窗口、一键切换窗口、一键回到桌面、一键打开键盘等。</w:t>
            </w:r>
          </w:p>
          <w:p>
            <w:pPr>
              <w:rPr>
                <w:rFonts w:hint="eastAsia" w:ascii="新宋体" w:hAnsi="新宋体" w:eastAsia="新宋体" w:cs="新宋体"/>
                <w:szCs w:val="21"/>
              </w:rPr>
            </w:pPr>
            <w:r>
              <w:rPr>
                <w:rFonts w:hint="eastAsia" w:ascii="新宋体" w:hAnsi="新宋体" w:eastAsia="新宋体" w:cs="新宋体"/>
                <w:szCs w:val="21"/>
              </w:rPr>
              <w:t>4.双屏同步模式下支持多种手持终端的手势识别，包括单指点击、双指缩放、双指滚轮、三指漫游，支持远程聚光灯展示，可对屏幕演示内容进行聚光灯效果重点强调。</w:t>
            </w:r>
          </w:p>
          <w:p>
            <w:pPr>
              <w:rPr>
                <w:rFonts w:hint="eastAsia" w:ascii="新宋体" w:hAnsi="新宋体" w:eastAsia="新宋体" w:cs="新宋体"/>
                <w:szCs w:val="21"/>
              </w:rPr>
            </w:pPr>
            <w:r>
              <w:rPr>
                <w:rFonts w:hint="eastAsia" w:ascii="新宋体" w:hAnsi="新宋体" w:eastAsia="新宋体" w:cs="新宋体"/>
                <w:szCs w:val="21"/>
              </w:rPr>
              <w:t>十、教学信息平台</w:t>
            </w:r>
          </w:p>
          <w:p>
            <w:pPr>
              <w:rPr>
                <w:rFonts w:hint="eastAsia" w:ascii="新宋体" w:hAnsi="新宋体" w:eastAsia="新宋体" w:cs="新宋体"/>
                <w:szCs w:val="21"/>
              </w:rPr>
            </w:pPr>
            <w:r>
              <w:rPr>
                <w:rFonts w:hint="eastAsia" w:ascii="新宋体" w:hAnsi="新宋体" w:eastAsia="新宋体" w:cs="新宋体"/>
                <w:szCs w:val="21"/>
              </w:rPr>
              <w:t>1.后台采用B/S架构设计，支持学校管理者在Windows、Linux、Android、IOS等多种不同的操作系统上通过网页浏览器登陆进行操作，可统计全校老师软件活跃数据、学生点评及课件上传等数据。</w:t>
            </w:r>
          </w:p>
          <w:p>
            <w:pPr>
              <w:rPr>
                <w:rFonts w:hint="eastAsia" w:ascii="新宋体" w:hAnsi="新宋体" w:eastAsia="新宋体" w:cs="新宋体"/>
                <w:szCs w:val="21"/>
              </w:rPr>
            </w:pPr>
            <w:r>
              <w:rPr>
                <w:rFonts w:hint="eastAsia" w:ascii="新宋体" w:hAnsi="新宋体" w:eastAsia="新宋体" w:cs="新宋体"/>
                <w:szCs w:val="21"/>
              </w:rPr>
              <w:t>2.学校管理者登录后即可在平台首页查看校园评课数据、学生点评数据、校本课件数量等统计数据，以及可以看到这些数据与全省均值的对比情况，方便管理者快速了解教师工作情况及校园整体信息化情况。</w:t>
            </w:r>
          </w:p>
          <w:p>
            <w:pPr>
              <w:rPr>
                <w:rFonts w:hint="eastAsia" w:ascii="新宋体" w:hAnsi="新宋体" w:eastAsia="新宋体" w:cs="新宋体"/>
                <w:szCs w:val="21"/>
              </w:rPr>
            </w:pPr>
            <w:r>
              <w:rPr>
                <w:rFonts w:hint="eastAsia" w:ascii="新宋体" w:hAnsi="新宋体" w:eastAsia="新宋体" w:cs="新宋体"/>
                <w:szCs w:val="21"/>
              </w:rPr>
              <w:t>3.环比统计：各项数据支持一周、半月、全月环比展示，管理者可随时了解不同时间段内数据变化情况，方便了解教师教学状态变化情况。</w:t>
            </w:r>
          </w:p>
          <w:p>
            <w:pPr>
              <w:rPr>
                <w:rFonts w:hint="eastAsia" w:ascii="新宋体" w:hAnsi="新宋体" w:eastAsia="新宋体" w:cs="新宋体"/>
                <w:szCs w:val="21"/>
              </w:rPr>
            </w:pPr>
            <w:r>
              <w:rPr>
                <w:rFonts w:hint="eastAsia" w:ascii="新宋体" w:hAnsi="新宋体" w:eastAsia="新宋体" w:cs="新宋体"/>
                <w:szCs w:val="21"/>
              </w:rPr>
              <w:t>4.数据排名：支持学校管理者查看不同时间段内数据排名，包括评课评分榜、课堂点评班级排名、校本课件上传排名，便于管理者激励全校教师。</w:t>
            </w:r>
          </w:p>
          <w:p>
            <w:pPr>
              <w:rPr>
                <w:rFonts w:hint="eastAsia" w:ascii="新宋体" w:hAnsi="新宋体" w:eastAsia="新宋体" w:cs="新宋体"/>
                <w:szCs w:val="21"/>
              </w:rPr>
            </w:pPr>
            <w:r>
              <w:rPr>
                <w:rFonts w:hint="eastAsia" w:ascii="新宋体" w:hAnsi="新宋体" w:eastAsia="新宋体" w:cs="新宋体"/>
                <w:szCs w:val="21"/>
              </w:rPr>
              <w:t>5.听课评课：支持教师通过扫描课程二维码进行信息化听课评课。支持自定义评课表，评课分数实时汇总统计，并提供课程评分排名。</w:t>
            </w:r>
          </w:p>
          <w:p>
            <w:pPr>
              <w:rPr>
                <w:rFonts w:hint="eastAsia" w:ascii="新宋体" w:hAnsi="新宋体" w:eastAsia="新宋体" w:cs="新宋体"/>
                <w:szCs w:val="21"/>
              </w:rPr>
            </w:pPr>
            <w:r>
              <w:rPr>
                <w:rFonts w:hint="eastAsia" w:ascii="新宋体" w:hAnsi="新宋体" w:eastAsia="新宋体" w:cs="新宋体"/>
                <w:szCs w:val="21"/>
              </w:rPr>
              <w:t>6.班级氛围：支持统计全校班级的课堂行为评价数据，并根据总分排名展示，方便管理者了解不同班级的课堂行为情况</w:t>
            </w:r>
          </w:p>
          <w:p>
            <w:pPr>
              <w:rPr>
                <w:rFonts w:hint="eastAsia" w:ascii="新宋体" w:hAnsi="新宋体" w:eastAsia="新宋体" w:cs="新宋体"/>
                <w:b/>
                <w:szCs w:val="21"/>
              </w:rPr>
            </w:pPr>
            <w:r>
              <w:rPr>
                <w:rFonts w:hint="eastAsia" w:ascii="新宋体" w:hAnsi="新宋体" w:eastAsia="新宋体" w:cs="新宋体"/>
                <w:b/>
                <w:szCs w:val="21"/>
              </w:rPr>
              <w:t>其他要求：</w:t>
            </w:r>
          </w:p>
          <w:p>
            <w:pPr>
              <w:rPr>
                <w:rFonts w:hint="eastAsia" w:ascii="新宋体" w:hAnsi="新宋体" w:eastAsia="新宋体" w:cs="新宋体"/>
                <w:szCs w:val="21"/>
              </w:rPr>
            </w:pPr>
            <w:r>
              <w:rPr>
                <w:rFonts w:hint="eastAsia" w:ascii="新宋体" w:hAnsi="新宋体" w:eastAsia="新宋体" w:cs="新宋体"/>
                <w:szCs w:val="21"/>
              </w:rPr>
              <w:t>1.为确保功能的真实性和有效性，在正式供货前，业主有权要求供应商提供与标书技术要求及功能符合的设备一套，与标书文件进行所有性能的核对，作为项目验收的依据，如出现所提供不符招标要求，视为虚假应标处理并根据招标法及标书要求追究法律责任。</w:t>
            </w:r>
          </w:p>
          <w:p>
            <w:pPr>
              <w:jc w:val="left"/>
              <w:rPr>
                <w:rFonts w:hint="eastAsia" w:ascii="新宋体" w:hAnsi="新宋体" w:eastAsia="新宋体" w:cs="新宋体"/>
                <w:color w:val="000000"/>
                <w:szCs w:val="21"/>
              </w:rPr>
            </w:pPr>
            <w:r>
              <w:rPr>
                <w:rFonts w:hint="eastAsia" w:ascii="新宋体" w:hAnsi="新宋体" w:eastAsia="新宋体" w:cs="新宋体"/>
                <w:szCs w:val="21"/>
              </w:rPr>
              <w:t>2.为确保所供应货物为全新且含质保产品，在正式供货时，中标单位须提供制造商针对此项目的供货证明原件、售后服务承诺函原件，且均需加盖投标人公章。</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中置液晶推拉板</w:t>
            </w:r>
          </w:p>
        </w:tc>
        <w:tc>
          <w:tcPr>
            <w:tcW w:w="4962" w:type="dxa"/>
            <w:vAlign w:val="center"/>
          </w:tcPr>
          <w:p>
            <w:pPr>
              <w:snapToGrid w:val="0"/>
              <w:spacing w:after="156" w:afterLines="50"/>
              <w:rPr>
                <w:rFonts w:hint="eastAsia" w:ascii="新宋体" w:hAnsi="新宋体" w:eastAsia="新宋体" w:cs="新宋体"/>
                <w:b/>
                <w:color w:val="000000" w:themeColor="text1"/>
                <w:szCs w:val="21"/>
              </w:rPr>
            </w:pPr>
            <w:r>
              <w:rPr>
                <w:rFonts w:hint="eastAsia" w:ascii="新宋体" w:hAnsi="新宋体" w:eastAsia="新宋体" w:cs="新宋体"/>
                <w:b/>
                <w:color w:val="333333"/>
                <w:szCs w:val="21"/>
              </w:rPr>
              <w:t>结构：</w:t>
            </w:r>
            <w:r>
              <w:rPr>
                <w:rFonts w:hint="eastAsia" w:ascii="新宋体" w:hAnsi="新宋体" w:eastAsia="新宋体" w:cs="新宋体"/>
                <w:color w:val="333333"/>
                <w:szCs w:val="21"/>
              </w:rPr>
              <w:t>推拉板由大框及</w:t>
            </w:r>
            <w:r>
              <w:rPr>
                <w:rFonts w:hint="eastAsia" w:ascii="新宋体" w:hAnsi="新宋体" w:eastAsia="新宋体" w:cs="新宋体"/>
                <w:color w:val="000000" w:themeColor="text1"/>
                <w:szCs w:val="21"/>
              </w:rPr>
              <w:t>四块同等大小的书写板组装而成，书写板分内外双层结构，内层为两块固定书写板与液晶一体机正面平齐，外层为两块滑动书写板，滑动板配装刻有黑板品牌LOGO标识的挂锁，开闭自如确保液晶一体机的安全管理。</w:t>
            </w:r>
          </w:p>
          <w:p>
            <w:pPr>
              <w:snapToGrid w:val="0"/>
              <w:spacing w:after="156" w:afterLines="50"/>
              <w:rPr>
                <w:rFonts w:hint="eastAsia" w:ascii="新宋体" w:hAnsi="新宋体" w:eastAsia="新宋体" w:cs="新宋体"/>
                <w:color w:val="000000" w:themeColor="text1"/>
                <w:szCs w:val="21"/>
                <w:lang w:val="zh-CN"/>
              </w:rPr>
            </w:pPr>
            <w:r>
              <w:rPr>
                <w:rFonts w:hint="eastAsia" w:ascii="新宋体" w:hAnsi="新宋体" w:eastAsia="新宋体" w:cs="新宋体"/>
                <w:b/>
                <w:color w:val="000000" w:themeColor="text1"/>
                <w:szCs w:val="21"/>
              </w:rPr>
              <w:t>基本尺寸：</w:t>
            </w:r>
            <w:r>
              <w:rPr>
                <w:rFonts w:hint="eastAsia" w:ascii="新宋体" w:hAnsi="新宋体" w:eastAsia="新宋体" w:cs="新宋体"/>
                <w:color w:val="000000" w:themeColor="text1"/>
                <w:szCs w:val="21"/>
              </w:rPr>
              <w:t>4000mm×1305mm，可根据所配电子产品适当调整，确保与电子产品的有效配套。</w:t>
            </w:r>
          </w:p>
          <w:p>
            <w:pPr>
              <w:snapToGrid w:val="0"/>
              <w:spacing w:after="156" w:afterLines="50"/>
              <w:rPr>
                <w:rFonts w:hint="eastAsia" w:ascii="新宋体" w:hAnsi="新宋体" w:eastAsia="新宋体" w:cs="新宋体"/>
                <w:b/>
                <w:color w:val="000000" w:themeColor="text1"/>
                <w:szCs w:val="21"/>
              </w:rPr>
            </w:pPr>
            <w:r>
              <w:rPr>
                <w:rFonts w:hint="eastAsia" w:ascii="新宋体" w:hAnsi="新宋体" w:eastAsia="新宋体" w:cs="新宋体"/>
                <w:b/>
                <w:color w:val="000000" w:themeColor="text1"/>
                <w:szCs w:val="21"/>
              </w:rPr>
              <w:t>书写板面：</w:t>
            </w:r>
            <w:r>
              <w:rPr>
                <w:rFonts w:hint="eastAsia" w:ascii="新宋体" w:hAnsi="新宋体" w:eastAsia="新宋体" w:cs="新宋体"/>
                <w:color w:val="000000" w:themeColor="text1"/>
                <w:szCs w:val="21"/>
              </w:rPr>
              <w:t>环保教学专用彩色涂层钢板，浅米黄色，厚度≥0.3mm，硬度≥4H，光泽度≤10GU，板面可吸附磁针、磁片，书写面光滑、平整，颜色均匀，坚固耐用、哑光，投影可视效果佳，有效地保护了师生的视力健康。</w:t>
            </w:r>
          </w:p>
          <w:p>
            <w:pPr>
              <w:snapToGrid w:val="0"/>
              <w:spacing w:after="156" w:afterLines="50"/>
              <w:rPr>
                <w:rFonts w:hint="eastAsia" w:ascii="新宋体" w:hAnsi="新宋体" w:eastAsia="新宋体" w:cs="新宋体"/>
                <w:color w:val="000000" w:themeColor="text1"/>
                <w:szCs w:val="21"/>
              </w:rPr>
            </w:pPr>
            <w:r>
              <w:rPr>
                <w:rFonts w:hint="eastAsia" w:ascii="新宋体" w:hAnsi="新宋体" w:eastAsia="新宋体" w:cs="新宋体"/>
                <w:b/>
                <w:color w:val="000000" w:themeColor="text1"/>
                <w:szCs w:val="21"/>
              </w:rPr>
              <w:t>内芯材料：</w:t>
            </w:r>
            <w:r>
              <w:rPr>
                <w:rFonts w:hint="eastAsia" w:ascii="新宋体" w:hAnsi="新宋体" w:eastAsia="新宋体" w:cs="新宋体"/>
                <w:color w:val="000000" w:themeColor="text1"/>
                <w:szCs w:val="21"/>
              </w:rPr>
              <w:t>高强度、吸音、聚苯乙烯泡沫板，采用国际适用工艺，书写无吱咔声，改善书写手感。</w:t>
            </w:r>
          </w:p>
          <w:p>
            <w:pPr>
              <w:snapToGrid w:val="0"/>
              <w:spacing w:after="156" w:afterLines="50"/>
              <w:rPr>
                <w:rFonts w:hint="eastAsia" w:ascii="新宋体" w:hAnsi="新宋体" w:eastAsia="新宋体" w:cs="新宋体"/>
                <w:bCs/>
                <w:color w:val="000000" w:themeColor="text1"/>
                <w:szCs w:val="21"/>
              </w:rPr>
            </w:pPr>
            <w:r>
              <w:rPr>
                <w:rFonts w:hint="eastAsia" w:ascii="新宋体" w:hAnsi="新宋体" w:eastAsia="新宋体" w:cs="新宋体"/>
                <w:b/>
                <w:color w:val="000000" w:themeColor="text1"/>
                <w:szCs w:val="21"/>
              </w:rPr>
              <w:t>背板</w:t>
            </w:r>
            <w:r>
              <w:rPr>
                <w:rFonts w:hint="eastAsia" w:ascii="新宋体" w:hAnsi="新宋体" w:eastAsia="新宋体" w:cs="新宋体"/>
                <w:color w:val="000000" w:themeColor="text1"/>
                <w:szCs w:val="21"/>
              </w:rPr>
              <w:t>：</w:t>
            </w:r>
            <w:r>
              <w:rPr>
                <w:rFonts w:hint="eastAsia" w:ascii="新宋体" w:hAnsi="新宋体" w:eastAsia="新宋体" w:cs="新宋体"/>
                <w:bCs/>
                <w:color w:val="000000" w:themeColor="text1"/>
                <w:szCs w:val="21"/>
              </w:rPr>
              <w:t>采用优质防锈热镀锌钢板，厚度≥0.25mm，流水线一次成型，间隔80mm压有20mm凹槽加强筋,此技术为专利产品，确保均布承压不低于635N，凹槽造型美观、增加强度，更加耐用</w:t>
            </w:r>
            <w:r>
              <w:rPr>
                <w:rFonts w:hint="eastAsia" w:ascii="新宋体" w:hAnsi="新宋体" w:eastAsia="新宋体" w:cs="新宋体"/>
                <w:color w:val="000000" w:themeColor="text1"/>
                <w:szCs w:val="21"/>
              </w:rPr>
              <w:t>。</w:t>
            </w:r>
          </w:p>
          <w:p>
            <w:pPr>
              <w:snapToGrid w:val="0"/>
              <w:spacing w:after="156" w:afterLines="50"/>
              <w:rPr>
                <w:rFonts w:hint="eastAsia" w:ascii="新宋体" w:hAnsi="新宋体" w:eastAsia="新宋体" w:cs="新宋体"/>
                <w:color w:val="000000" w:themeColor="text1"/>
                <w:szCs w:val="21"/>
              </w:rPr>
            </w:pPr>
            <w:r>
              <w:rPr>
                <w:rFonts w:hint="eastAsia" w:ascii="新宋体" w:hAnsi="新宋体" w:eastAsia="新宋体" w:cs="新宋体"/>
                <w:b/>
                <w:color w:val="000000" w:themeColor="text1"/>
                <w:szCs w:val="21"/>
              </w:rPr>
              <w:t>板面与衬板粘贴：</w:t>
            </w:r>
            <w:r>
              <w:rPr>
                <w:rFonts w:hint="eastAsia" w:ascii="新宋体" w:hAnsi="新宋体" w:eastAsia="新宋体" w:cs="新宋体"/>
                <w:color w:val="000000" w:themeColor="text1"/>
                <w:szCs w:val="21"/>
              </w:rPr>
              <w:t>采用环保型双组份聚氨酯胶水1:1配置，使用自动化覆板流水线作业，喷胶、压固、切割下料一次成型，确保粘接牢固板面平整。</w:t>
            </w:r>
          </w:p>
          <w:p>
            <w:pPr>
              <w:snapToGrid w:val="0"/>
              <w:spacing w:after="156" w:afterLines="50"/>
              <w:rPr>
                <w:rFonts w:hint="eastAsia" w:ascii="新宋体" w:hAnsi="新宋体" w:eastAsia="新宋体" w:cs="新宋体"/>
                <w:color w:val="000000" w:themeColor="text1"/>
                <w:szCs w:val="21"/>
              </w:rPr>
            </w:pPr>
            <w:r>
              <w:rPr>
                <w:rFonts w:hint="eastAsia" w:ascii="新宋体" w:hAnsi="新宋体" w:eastAsia="新宋体" w:cs="新宋体"/>
                <w:b/>
                <w:color w:val="000000" w:themeColor="text1"/>
                <w:szCs w:val="21"/>
              </w:rPr>
              <w:t>边框：</w:t>
            </w:r>
            <w:r>
              <w:rPr>
                <w:rFonts w:hint="eastAsia" w:ascii="新宋体" w:hAnsi="新宋体" w:eastAsia="新宋体" w:cs="新宋体"/>
                <w:color w:val="000000" w:themeColor="text1"/>
                <w:szCs w:val="21"/>
              </w:rPr>
              <w:t>采用工业用高强度铝合金型材，电泳香槟色，模具挤压一次成型，上框规格57mm×100mm，左右框规格29mm×100mm，横（立）框采用双层加强结构，厚度≥15mm。轨道上置隐藏式平滑轮滑道，结构性解决滑轮受灰尘影响的情况，配有宽度≥30mm的板托，板托与滑动系统分离，与边框一次模具成形，可放置书写笔，方便实用。</w:t>
            </w:r>
          </w:p>
          <w:p>
            <w:pPr>
              <w:snapToGrid w:val="0"/>
              <w:spacing w:after="156" w:afterLines="50"/>
              <w:rPr>
                <w:rFonts w:hint="eastAsia" w:ascii="新宋体" w:hAnsi="新宋体" w:eastAsia="新宋体" w:cs="新宋体"/>
                <w:color w:val="000000" w:themeColor="text1"/>
                <w:szCs w:val="21"/>
              </w:rPr>
            </w:pPr>
            <w:r>
              <w:rPr>
                <w:rFonts w:hint="eastAsia" w:ascii="新宋体" w:hAnsi="新宋体" w:eastAsia="新宋体" w:cs="新宋体"/>
                <w:b/>
                <w:color w:val="000000" w:themeColor="text1"/>
                <w:szCs w:val="21"/>
              </w:rPr>
              <w:t>包角材料：</w:t>
            </w:r>
            <w:r>
              <w:rPr>
                <w:rFonts w:hint="eastAsia" w:ascii="新宋体" w:hAnsi="新宋体" w:eastAsia="新宋体" w:cs="新宋体"/>
                <w:color w:val="000000" w:themeColor="text1"/>
                <w:szCs w:val="21"/>
              </w:rPr>
              <w:t>采用抗老化高强度ABS工程塑料注塑成型。规格：100mm×29mm×29mm，采用双壁成腔流线型设计，≥R25mm的圆角，正面带黑板品牌LOGO标识，无尖角毛刺，符合JY0001-2003《教学仪器设备产品一般质量要求》。</w:t>
            </w:r>
          </w:p>
          <w:p>
            <w:pPr>
              <w:snapToGrid w:val="0"/>
              <w:spacing w:after="156" w:afterLines="50"/>
              <w:rPr>
                <w:rFonts w:hint="eastAsia" w:ascii="新宋体" w:hAnsi="新宋体" w:eastAsia="新宋体" w:cs="新宋体"/>
                <w:color w:val="000000" w:themeColor="text1"/>
                <w:szCs w:val="21"/>
              </w:rPr>
            </w:pPr>
            <w:r>
              <w:rPr>
                <w:rFonts w:hint="eastAsia" w:ascii="新宋体" w:hAnsi="新宋体" w:eastAsia="新宋体" w:cs="新宋体"/>
                <w:b/>
                <w:color w:val="000000" w:themeColor="text1"/>
                <w:szCs w:val="21"/>
              </w:rPr>
              <w:t>黑板滑轮：</w:t>
            </w:r>
            <w:r>
              <w:rPr>
                <w:rFonts w:hint="eastAsia" w:ascii="新宋体" w:hAnsi="新宋体" w:eastAsia="新宋体" w:cs="新宋体"/>
                <w:color w:val="000000" w:themeColor="text1"/>
                <w:szCs w:val="21"/>
              </w:rPr>
              <w:t>上轨采用减震消音双组吊轮，滑轮使用高精度轴承，下轨采用双组滑块，保证滑动流畅、噪音小、前后定位精确不晃动、滑动板前后晃动小于0.5mm，经久耐用。数目各4组，上下均匀安装，推拉顺畅自如，无卡挤现象和尖锐的摩擦声，稳定性好。</w:t>
            </w:r>
          </w:p>
          <w:p>
            <w:pPr>
              <w:snapToGrid w:val="0"/>
              <w:spacing w:after="156" w:afterLines="50"/>
              <w:rPr>
                <w:rFonts w:hint="eastAsia" w:ascii="新宋体" w:hAnsi="新宋体" w:eastAsia="新宋体" w:cs="新宋体"/>
                <w:color w:val="000000" w:themeColor="text1"/>
                <w:szCs w:val="21"/>
                <w:lang w:val="zh-CN"/>
              </w:rPr>
            </w:pPr>
            <w:r>
              <w:rPr>
                <w:rFonts w:hint="eastAsia" w:ascii="新宋体" w:hAnsi="新宋体" w:eastAsia="新宋体" w:cs="新宋体"/>
                <w:b/>
                <w:color w:val="000000" w:themeColor="text1"/>
                <w:szCs w:val="21"/>
              </w:rPr>
              <w:t>限位档：</w:t>
            </w:r>
            <w:r>
              <w:rPr>
                <w:rFonts w:hint="eastAsia" w:ascii="新宋体" w:hAnsi="新宋体" w:eastAsia="新宋体" w:cs="新宋体"/>
                <w:color w:val="000000" w:themeColor="text1"/>
                <w:szCs w:val="21"/>
              </w:rPr>
              <w:t>黑板边框内部两侧安装滑动板限位档，防止活动黑板开启时撞击立框</w:t>
            </w:r>
            <w:r>
              <w:rPr>
                <w:rFonts w:hint="eastAsia" w:ascii="新宋体" w:hAnsi="新宋体" w:eastAsia="新宋体" w:cs="新宋体"/>
                <w:color w:val="000000" w:themeColor="text1"/>
                <w:szCs w:val="21"/>
                <w:lang w:val="zh-CN"/>
              </w:rPr>
              <w:t>。</w:t>
            </w:r>
          </w:p>
          <w:p>
            <w:pPr>
              <w:snapToGrid w:val="0"/>
              <w:spacing w:after="156" w:afterLines="50"/>
              <w:rPr>
                <w:rFonts w:hint="eastAsia" w:ascii="新宋体" w:hAnsi="新宋体" w:eastAsia="新宋体" w:cs="新宋体"/>
                <w:color w:val="000000" w:themeColor="text1"/>
                <w:szCs w:val="21"/>
                <w:lang w:val="zh-CN"/>
              </w:rPr>
            </w:pPr>
            <w:r>
              <w:rPr>
                <w:rFonts w:hint="eastAsia" w:ascii="新宋体" w:hAnsi="新宋体" w:eastAsia="新宋体" w:cs="新宋体"/>
                <w:b/>
                <w:color w:val="000000" w:themeColor="text1"/>
                <w:szCs w:val="21"/>
              </w:rPr>
              <w:t>易维护性：</w:t>
            </w:r>
            <w:r>
              <w:rPr>
                <w:rFonts w:hint="eastAsia" w:ascii="新宋体" w:hAnsi="新宋体" w:eastAsia="新宋体" w:cs="新宋体"/>
                <w:color w:val="000000" w:themeColor="text1"/>
                <w:szCs w:val="21"/>
              </w:rPr>
              <w:t>一体机上下配同色同质书写板，上下可根据一体机尺寸进行微调，两侧用H型边框与固定板配合，可自由拆装。使一体机不用拆整个黑板即可直接拆装维护，减少麻烦，延长使用寿命。</w:t>
            </w:r>
          </w:p>
          <w:p>
            <w:pPr>
              <w:snapToGrid w:val="0"/>
              <w:spacing w:after="156" w:afterLines="50"/>
              <w:rPr>
                <w:rFonts w:hint="eastAsia" w:ascii="新宋体" w:hAnsi="新宋体" w:eastAsia="新宋体" w:cs="新宋体"/>
                <w:color w:val="000000" w:themeColor="text1"/>
                <w:szCs w:val="21"/>
                <w:lang w:val="zh-CN"/>
              </w:rPr>
            </w:pPr>
            <w:r>
              <w:rPr>
                <w:rFonts w:hint="eastAsia" w:ascii="新宋体" w:hAnsi="新宋体" w:eastAsia="新宋体" w:cs="新宋体"/>
                <w:b/>
                <w:color w:val="000000" w:themeColor="text1"/>
                <w:szCs w:val="21"/>
                <w:lang w:val="zh-CN"/>
              </w:rPr>
              <w:t>安全性：</w:t>
            </w:r>
            <w:r>
              <w:rPr>
                <w:rFonts w:hint="eastAsia" w:ascii="新宋体" w:hAnsi="新宋体" w:eastAsia="新宋体" w:cs="新宋体"/>
                <w:color w:val="000000" w:themeColor="text1"/>
                <w:szCs w:val="21"/>
                <w:lang w:val="zh-CN"/>
              </w:rPr>
              <w:t>一把锁实现对滑动黑板的锁定，钥匙通用，方便实用。</w:t>
            </w:r>
          </w:p>
          <w:p>
            <w:pPr>
              <w:rPr>
                <w:rFonts w:hint="eastAsia" w:ascii="新宋体" w:hAnsi="新宋体" w:eastAsia="新宋体" w:cs="新宋体"/>
                <w:color w:val="000000" w:themeColor="text1"/>
                <w:szCs w:val="21"/>
              </w:rPr>
            </w:pPr>
            <w:r>
              <w:rPr>
                <w:rFonts w:hint="eastAsia" w:ascii="新宋体" w:hAnsi="新宋体" w:eastAsia="新宋体" w:cs="新宋体"/>
                <w:b/>
                <w:color w:val="000000" w:themeColor="text1"/>
                <w:szCs w:val="21"/>
              </w:rPr>
              <w:t>安装：</w:t>
            </w:r>
            <w:r>
              <w:rPr>
                <w:rFonts w:hint="eastAsia" w:ascii="新宋体" w:hAnsi="新宋体" w:eastAsia="新宋体" w:cs="新宋体"/>
                <w:color w:val="000000" w:themeColor="text1"/>
                <w:szCs w:val="21"/>
              </w:rPr>
              <w:t>配装自制钢制安装件，规格95*50*60mm，隐形安装、没有外露的挂接件，符合GB 21027-2007《学生用品的安全通用要求》。</w:t>
            </w:r>
          </w:p>
          <w:p>
            <w:pPr>
              <w:snapToGrid w:val="0"/>
              <w:spacing w:after="156" w:afterLines="50"/>
              <w:rPr>
                <w:rFonts w:hint="eastAsia" w:ascii="新宋体" w:hAnsi="新宋体" w:eastAsia="新宋体" w:cs="新宋体"/>
                <w:color w:val="000000" w:themeColor="text1"/>
                <w:kern w:val="0"/>
                <w:szCs w:val="21"/>
              </w:rPr>
            </w:pPr>
            <w:r>
              <w:rPr>
                <w:rFonts w:hint="eastAsia" w:ascii="新宋体" w:hAnsi="新宋体" w:eastAsia="新宋体" w:cs="新宋体"/>
                <w:b/>
                <w:color w:val="000000" w:themeColor="text1"/>
                <w:szCs w:val="21"/>
              </w:rPr>
              <w:t>包装：</w:t>
            </w:r>
            <w:r>
              <w:rPr>
                <w:rFonts w:hint="eastAsia" w:ascii="新宋体" w:hAnsi="新宋体" w:eastAsia="新宋体" w:cs="新宋体"/>
                <w:color w:val="000000" w:themeColor="text1"/>
                <w:szCs w:val="21"/>
              </w:rPr>
              <w:t>采用环保型材料，符合国家产品包装要求，单套或双套纸箱独立包装，箱体印有制造商名称、LOGO标识、地址、服务热线等信息</w:t>
            </w:r>
          </w:p>
          <w:p>
            <w:pPr>
              <w:rPr>
                <w:rFonts w:hint="eastAsia" w:ascii="新宋体" w:hAnsi="新宋体" w:eastAsia="新宋体" w:cs="新宋体"/>
                <w:color w:val="000000" w:themeColor="text1"/>
                <w:szCs w:val="21"/>
              </w:rPr>
            </w:pPr>
            <w:r>
              <w:rPr>
                <w:rStyle w:val="41"/>
                <w:rFonts w:hint="eastAsia" w:ascii="新宋体" w:hAnsi="新宋体" w:eastAsia="新宋体" w:cs="新宋体"/>
                <w:bCs/>
                <w:color w:val="000000" w:themeColor="text1"/>
                <w:sz w:val="21"/>
                <w:szCs w:val="21"/>
              </w:rPr>
              <w:t>配套环保耗材：</w:t>
            </w:r>
            <w:r>
              <w:rPr>
                <w:rFonts w:hint="eastAsia" w:ascii="新宋体" w:hAnsi="新宋体" w:eastAsia="新宋体" w:cs="新宋体"/>
                <w:color w:val="000000" w:themeColor="text1"/>
                <w:szCs w:val="21"/>
              </w:rPr>
              <w:t>耗材如下：</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新型成膜墨水笔：</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 xml:space="preserve">    3支（红蓝黑各1支），字迹亮丽清晰，遮盖力高，速干易擦，不留底，不糊板，无尘无毒健康环保，合理的结构设计，实现更换笔头，添加墨水，方便快捷，专用聚酯笔头，渗透性强，书写流畅，颜色多样可随意搭配组合，适用于米黄板、亚光白板、玻璃、专用膜等不吸水板面。</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环保墨水：</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 xml:space="preserve">     3瓶（红蓝黑各1瓶），环保醇溶、纳米颜料墨水，所用原料均无毒无害，保证师生健康。长期放置无沉淀和分层现象，书写流畅。旋盖滴液嘴设计，可以有效控制加墨量，加墨方便。</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墨水容量每瓶100ml。</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板擦：1个，直径95mm*厚30mm，特质EVA板擦，擦除性好，干擦无需用水、不伤板面；</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黑板专用清洁毛巾 1条，尺寸：35cm*35cm，优质材料定做，使用方便，清洗效果好，保护书写板面，脏后清水清洗，拧干即可；</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专用清洁毛刷1个，总长小于150mm，毛长30mm毛宽：35mm，采用优质尼龙材料制成，毛色金黄色，毛硬度适宜，用于清洁黑板边框内的灰尘、污物等方便实用；</w:t>
            </w:r>
          </w:p>
          <w:p>
            <w:pPr>
              <w:rPr>
                <w:rFonts w:hint="eastAsia" w:ascii="新宋体" w:hAnsi="新宋体" w:eastAsia="新宋体" w:cs="新宋体"/>
                <w:color w:val="000000"/>
                <w:szCs w:val="21"/>
              </w:rPr>
            </w:pPr>
            <w:r>
              <w:rPr>
                <w:rFonts w:hint="eastAsia" w:ascii="新宋体" w:hAnsi="新宋体" w:eastAsia="新宋体" w:cs="新宋体"/>
                <w:color w:val="000000" w:themeColor="text1"/>
                <w:szCs w:val="21"/>
              </w:rPr>
              <w:t>★多功能盒 ： 1套 长*宽*高尺寸：120mm*145mm*168mm，优质ABS材料制成，设计合理，一盒多用，整体轻便，便于携带，盒盖采用格网结构设计，该结构设计有清洁板擦面,收集的墨水污物的作用，方便清洗，内附可吸附式环保板擦盒，可吸附在板面任何位置上，方便使用，盒体兼有包装及储存墨水的作用。</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视频展示台</w:t>
            </w:r>
          </w:p>
        </w:tc>
        <w:tc>
          <w:tcPr>
            <w:tcW w:w="4962" w:type="dxa"/>
            <w:vAlign w:val="center"/>
          </w:tcPr>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1、箱体环保材质，箱内无可见连接线，整机无锐角无利边设计，安全防碰伤。</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2、800万像素，最高分辨率3264×2448，采用三折叠式开合托板，展开后不小于A4幅面。</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3、整机自带LED补光灯，可触摸式三级灯光调节，保证展示区域的亮度和展示效果。 </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4、★展台自动免对焦，无需人为调焦，800万高清像素下，动态速率实测15帧/秒</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5、★箱体内嵌2个USB扩展口，可外接U盘或无线键鼠的接收器。</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6、★展台面板上带放大、缩小、旋转、灯光功能，支持PPT全屏和展示画面之间进行一键快速切换，老师上课使用更灵活、高效。</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7、★展台画面可进行实时批注，预设多种笔划粗细及颜色提供选择，且支持对展台画面进行同步缩放、移动。教育展示所有的操作按键都在第一视窗界面，不存在2级菜单，方便老师学习使用</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8、★支持对展台实时画面进行冻结、负片、镜像、黑白、全屏、自适应、同屏对比、拍照、录像等操作。</w:t>
            </w:r>
          </w:p>
          <w:p>
            <w:pPr>
              <w:rPr>
                <w:rFonts w:hint="eastAsia" w:ascii="新宋体" w:hAnsi="新宋体" w:eastAsia="新宋体" w:cs="新宋体"/>
                <w:color w:val="000000"/>
                <w:szCs w:val="21"/>
              </w:rPr>
            </w:pPr>
            <w:r>
              <w:rPr>
                <w:rFonts w:hint="eastAsia" w:ascii="新宋体" w:hAnsi="新宋体" w:eastAsia="新宋体" w:cs="新宋体"/>
                <w:color w:val="000000"/>
                <w:szCs w:val="21"/>
                <w:shd w:val="clear" w:color="auto" w:fill="FBFBFB"/>
              </w:rPr>
              <w:t>9、★拍摄后产生的图片都可以进行去黑边、纠斜、旋转、剪裁等图像处理；调整图像亮度、对比度、饱和度等，以便根据需要调整图像效果；可对图片进行灰度、黑白、反相、浮雕、锐化、单色图/二值化等处理。</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办公桌椅</w:t>
            </w:r>
          </w:p>
        </w:tc>
        <w:tc>
          <w:tcPr>
            <w:tcW w:w="4962" w:type="dxa"/>
            <w:vAlign w:val="center"/>
          </w:tcPr>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1、尺寸：1400*600*760(MM)</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2、形态：L型办公电脑一体桌</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3、材料及要求：桌面厚度25mm，三聚氰胺中纤板，基材外贴防火板</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4、其它：带副柜及活动三抽柜，键盘托、电脑主机架。</w:t>
            </w:r>
          </w:p>
          <w:p>
            <w:pPr>
              <w:rPr>
                <w:rFonts w:hint="eastAsia" w:ascii="新宋体" w:hAnsi="新宋体" w:eastAsia="新宋体" w:cs="新宋体"/>
                <w:color w:val="000000"/>
                <w:szCs w:val="21"/>
                <w:shd w:val="clear" w:color="auto" w:fill="FBFBFB"/>
              </w:rPr>
            </w:pPr>
            <w:r>
              <w:rPr>
                <w:rFonts w:hint="eastAsia" w:ascii="新宋体" w:hAnsi="新宋体" w:eastAsia="新宋体" w:cs="新宋体"/>
                <w:color w:val="000000"/>
                <w:szCs w:val="21"/>
                <w:shd w:val="clear" w:color="auto" w:fill="FBFBFB"/>
              </w:rPr>
              <w:t>5、配套：椅子一把，座椅座靠采用优质麻绒，内添高密度定型海绵，优质汽压棒，尼龙五星脚</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5</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电脑</w:t>
            </w:r>
          </w:p>
        </w:tc>
        <w:tc>
          <w:tcPr>
            <w:tcW w:w="4962" w:type="dxa"/>
            <w:vAlign w:val="center"/>
          </w:tcPr>
          <w:p>
            <w:pPr>
              <w:rPr>
                <w:rFonts w:hint="eastAsia" w:ascii="新宋体" w:hAnsi="新宋体" w:eastAsia="新宋体" w:cs="新宋体"/>
                <w:szCs w:val="21"/>
              </w:rPr>
            </w:pPr>
            <w:r>
              <w:rPr>
                <w:rFonts w:hint="eastAsia" w:ascii="新宋体" w:hAnsi="新宋体" w:eastAsia="新宋体" w:cs="新宋体"/>
                <w:szCs w:val="21"/>
              </w:rPr>
              <w:t>• 处理器：英特尔 &gt;=酷睿I3双核四线程</w:t>
            </w:r>
          </w:p>
          <w:p>
            <w:pPr>
              <w:rPr>
                <w:rFonts w:hint="eastAsia" w:ascii="新宋体" w:hAnsi="新宋体" w:eastAsia="新宋体" w:cs="新宋体"/>
                <w:szCs w:val="21"/>
              </w:rPr>
            </w:pPr>
            <w:r>
              <w:rPr>
                <w:rFonts w:hint="eastAsia" w:ascii="新宋体" w:hAnsi="新宋体" w:eastAsia="新宋体" w:cs="新宋体"/>
                <w:szCs w:val="21"/>
              </w:rPr>
              <w:t>• 操作系统：支持DOS\WIN\LINUX等操作系统</w:t>
            </w:r>
          </w:p>
          <w:p>
            <w:pPr>
              <w:rPr>
                <w:rFonts w:hint="eastAsia" w:ascii="新宋体" w:hAnsi="新宋体" w:eastAsia="新宋体" w:cs="新宋体"/>
                <w:szCs w:val="21"/>
              </w:rPr>
            </w:pPr>
            <w:r>
              <w:rPr>
                <w:rFonts w:hint="eastAsia" w:ascii="新宋体" w:hAnsi="新宋体" w:eastAsia="新宋体" w:cs="新宋体"/>
                <w:szCs w:val="21"/>
              </w:rPr>
              <w:t>• 内存容量：≥4G  DDR3</w:t>
            </w:r>
          </w:p>
          <w:p>
            <w:pPr>
              <w:rPr>
                <w:rFonts w:hint="eastAsia" w:ascii="新宋体" w:hAnsi="新宋体" w:eastAsia="新宋体" w:cs="新宋体"/>
                <w:szCs w:val="21"/>
              </w:rPr>
            </w:pPr>
            <w:r>
              <w:rPr>
                <w:rFonts w:hint="eastAsia" w:ascii="新宋体" w:hAnsi="新宋体" w:eastAsia="新宋体" w:cs="新宋体"/>
                <w:szCs w:val="21"/>
              </w:rPr>
              <w:t>• 硬盘：1TB</w:t>
            </w:r>
          </w:p>
          <w:p>
            <w:pPr>
              <w:rPr>
                <w:rFonts w:hint="eastAsia" w:ascii="新宋体" w:hAnsi="新宋体" w:eastAsia="新宋体" w:cs="新宋体"/>
                <w:szCs w:val="21"/>
              </w:rPr>
            </w:pPr>
            <w:r>
              <w:rPr>
                <w:rFonts w:hint="eastAsia" w:ascii="新宋体" w:hAnsi="新宋体" w:eastAsia="新宋体" w:cs="新宋体"/>
                <w:szCs w:val="21"/>
              </w:rPr>
              <w:t>• 显卡：集成显卡</w:t>
            </w:r>
          </w:p>
          <w:p>
            <w:pPr>
              <w:rPr>
                <w:rFonts w:hint="eastAsia" w:ascii="新宋体" w:hAnsi="新宋体" w:eastAsia="新宋体" w:cs="新宋体"/>
                <w:szCs w:val="21"/>
              </w:rPr>
            </w:pPr>
            <w:r>
              <w:rPr>
                <w:rFonts w:hint="eastAsia" w:ascii="新宋体" w:hAnsi="新宋体" w:eastAsia="新宋体" w:cs="新宋体"/>
                <w:szCs w:val="21"/>
              </w:rPr>
              <w:t>• 显示器尺寸: &gt;=19英寸宽屏液晶</w:t>
            </w:r>
          </w:p>
          <w:p>
            <w:pPr>
              <w:rPr>
                <w:rFonts w:hint="eastAsia" w:ascii="新宋体" w:hAnsi="新宋体" w:eastAsia="新宋体" w:cs="新宋体"/>
                <w:szCs w:val="21"/>
              </w:rPr>
            </w:pPr>
            <w:r>
              <w:rPr>
                <w:rFonts w:hint="eastAsia" w:ascii="新宋体" w:hAnsi="新宋体" w:eastAsia="新宋体" w:cs="新宋体"/>
                <w:szCs w:val="21"/>
              </w:rPr>
              <w:t>• I/O 端口：</w:t>
            </w:r>
          </w:p>
          <w:p>
            <w:pPr>
              <w:rPr>
                <w:rFonts w:hint="eastAsia" w:ascii="新宋体" w:hAnsi="新宋体" w:eastAsia="新宋体" w:cs="新宋体"/>
                <w:szCs w:val="21"/>
              </w:rPr>
            </w:pPr>
            <w:r>
              <w:rPr>
                <w:rFonts w:hint="eastAsia" w:ascii="新宋体" w:hAnsi="新宋体" w:eastAsia="新宋体" w:cs="新宋体"/>
                <w:szCs w:val="21"/>
              </w:rPr>
              <w:t xml:space="preserve">  a) USB&gt;=4</w:t>
            </w:r>
          </w:p>
          <w:p>
            <w:pPr>
              <w:rPr>
                <w:rFonts w:hint="eastAsia" w:ascii="新宋体" w:hAnsi="新宋体" w:eastAsia="新宋体" w:cs="新宋体"/>
                <w:szCs w:val="21"/>
              </w:rPr>
            </w:pPr>
            <w:r>
              <w:rPr>
                <w:rFonts w:hint="eastAsia" w:ascii="新宋体" w:hAnsi="新宋体" w:eastAsia="新宋体" w:cs="新宋体"/>
                <w:szCs w:val="21"/>
              </w:rPr>
              <w:t xml:space="preserve">  b) 麦克风输入接口</w:t>
            </w:r>
          </w:p>
          <w:p>
            <w:pPr>
              <w:rPr>
                <w:rFonts w:hint="eastAsia" w:ascii="新宋体" w:hAnsi="新宋体" w:eastAsia="新宋体" w:cs="新宋体"/>
                <w:szCs w:val="21"/>
              </w:rPr>
            </w:pPr>
            <w:r>
              <w:rPr>
                <w:rFonts w:hint="eastAsia" w:ascii="新宋体" w:hAnsi="新宋体" w:eastAsia="新宋体" w:cs="新宋体"/>
                <w:szCs w:val="21"/>
              </w:rPr>
              <w:t xml:space="preserve">  c) RJ-45 端口</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6</w:t>
            </w:r>
          </w:p>
        </w:tc>
        <w:tc>
          <w:tcPr>
            <w:tcW w:w="495"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学习用具</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学生桌椅</w:t>
            </w:r>
          </w:p>
        </w:tc>
        <w:tc>
          <w:tcPr>
            <w:tcW w:w="4962" w:type="dxa"/>
            <w:vAlign w:val="center"/>
          </w:tcPr>
          <w:p>
            <w:pPr>
              <w:rPr>
                <w:rFonts w:hint="eastAsia" w:ascii="新宋体" w:hAnsi="新宋体" w:eastAsia="新宋体" w:cs="新宋体"/>
                <w:szCs w:val="21"/>
              </w:rPr>
            </w:pPr>
            <w:r>
              <w:rPr>
                <w:rFonts w:hint="eastAsia" w:ascii="新宋体" w:hAnsi="新宋体" w:eastAsia="新宋体" w:cs="新宋体"/>
                <w:szCs w:val="21"/>
                <w:lang w:bidi="ar"/>
              </w:rPr>
              <w:t>安全牢固。整套采用钢木复合材料，采用40×20mm鹅蛋管主脚架，面板为15mm夹板，加贴防火板。</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8</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7</w:t>
            </w:r>
          </w:p>
        </w:tc>
        <w:tc>
          <w:tcPr>
            <w:tcW w:w="495" w:type="dxa"/>
            <w:vAlign w:val="center"/>
          </w:tcPr>
          <w:p>
            <w:pPr>
              <w:rPr>
                <w:rFonts w:hint="eastAsia" w:ascii="新宋体" w:hAnsi="新宋体" w:eastAsia="新宋体" w:cs="新宋体"/>
                <w:szCs w:val="21"/>
              </w:rPr>
            </w:pPr>
            <w:r>
              <w:rPr>
                <w:rFonts w:hint="eastAsia" w:ascii="新宋体" w:hAnsi="新宋体" w:eastAsia="新宋体" w:cs="新宋体"/>
                <w:szCs w:val="21"/>
              </w:rPr>
              <w:t>储物用具</w:t>
            </w:r>
          </w:p>
        </w:tc>
        <w:tc>
          <w:tcPr>
            <w:tcW w:w="767"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档案柜</w:t>
            </w:r>
          </w:p>
        </w:tc>
        <w:tc>
          <w:tcPr>
            <w:tcW w:w="4962" w:type="dxa"/>
            <w:vAlign w:val="center"/>
          </w:tcPr>
          <w:p>
            <w:pPr>
              <w:widowControl/>
              <w:rPr>
                <w:rFonts w:hint="eastAsia" w:ascii="新宋体" w:hAnsi="新宋体" w:eastAsia="新宋体" w:cs="新宋体"/>
                <w:szCs w:val="21"/>
              </w:rPr>
            </w:pPr>
            <w:r>
              <w:rPr>
                <w:rFonts w:hint="eastAsia" w:ascii="新宋体" w:hAnsi="新宋体" w:eastAsia="新宋体" w:cs="新宋体"/>
                <w:szCs w:val="21"/>
              </w:rPr>
              <w:t>规格：1050*500*1800mm</w:t>
            </w:r>
          </w:p>
          <w:p>
            <w:pPr>
              <w:rPr>
                <w:rFonts w:hint="eastAsia" w:ascii="新宋体" w:hAnsi="新宋体" w:eastAsia="新宋体" w:cs="新宋体"/>
                <w:szCs w:val="21"/>
              </w:rPr>
            </w:pPr>
            <w:r>
              <w:rPr>
                <w:rFonts w:hint="eastAsia" w:ascii="新宋体" w:hAnsi="新宋体" w:eastAsia="新宋体" w:cs="新宋体"/>
                <w:szCs w:val="21"/>
              </w:rPr>
              <w:t xml:space="preserve">材质：1.结构：木质结构，柜子上部为双开内嵌式玻璃门，下部为双开木门，各层板高度不可调。柜体为灰色。                     </w:t>
            </w:r>
          </w:p>
          <w:p>
            <w:pPr>
              <w:rPr>
                <w:rFonts w:hint="eastAsia" w:ascii="新宋体" w:hAnsi="新宋体" w:eastAsia="新宋体" w:cs="新宋体"/>
                <w:szCs w:val="21"/>
              </w:rPr>
            </w:pPr>
            <w:r>
              <w:rPr>
                <w:rFonts w:hint="eastAsia" w:ascii="新宋体" w:hAnsi="新宋体" w:eastAsia="新宋体" w:cs="新宋体"/>
                <w:szCs w:val="21"/>
              </w:rPr>
              <w:t>2.柜身：柜子层板采用18mm厚，基材采用15mm厚，材料为双贴面防潮三聚氰胺板制作，所有板材外露端面采用1.0mm优质PVC封边条，配以热溶胶高温封边。</w:t>
            </w:r>
          </w:p>
          <w:p>
            <w:pPr>
              <w:rPr>
                <w:rFonts w:hint="eastAsia" w:ascii="新宋体" w:hAnsi="新宋体" w:eastAsia="新宋体" w:cs="新宋体"/>
                <w:szCs w:val="21"/>
              </w:rPr>
            </w:pPr>
            <w:r>
              <w:rPr>
                <w:rFonts w:hint="eastAsia" w:ascii="新宋体" w:hAnsi="新宋体" w:eastAsia="新宋体" w:cs="新宋体"/>
                <w:szCs w:val="21"/>
              </w:rPr>
              <w:t>3.拉手：采用优质钢材质。                                                     4.铰链：采用钢材质铰链，不锈钢螺钉固定。                               5.玻璃：4㎜厚白色浮化玻璃</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8</w:t>
            </w:r>
          </w:p>
        </w:tc>
        <w:tc>
          <w:tcPr>
            <w:tcW w:w="495"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电器</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立式空调（3p）</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kern w:val="0"/>
                <w:szCs w:val="21"/>
                <w:lang w:bidi="ar"/>
              </w:rPr>
              <w:t>类型：冷暖类型匹数：3匹能效等级：</w:t>
            </w:r>
            <w:r>
              <w:rPr>
                <w:rFonts w:hint="eastAsia" w:ascii="新宋体" w:hAnsi="新宋体" w:eastAsia="新宋体" w:cs="新宋体"/>
                <w:kern w:val="0"/>
                <w:szCs w:val="21"/>
                <w:lang w:bidi="ar"/>
              </w:rPr>
              <w:t>二级</w:t>
            </w:r>
            <w:r>
              <w:rPr>
                <w:rFonts w:hint="eastAsia" w:ascii="新宋体" w:hAnsi="新宋体" w:eastAsia="新宋体" w:cs="新宋体"/>
                <w:color w:val="000000"/>
                <w:kern w:val="0"/>
                <w:szCs w:val="21"/>
                <w:lang w:bidi="ar"/>
              </w:rPr>
              <w:t>能效使用面积：30-40㎡空调类别：立柜式空调</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ind w:firstLine="3162" w:firstLineChars="1500"/>
              <w:rPr>
                <w:rFonts w:hint="eastAsia" w:ascii="新宋体" w:hAnsi="新宋体" w:eastAsia="新宋体" w:cs="新宋体"/>
                <w:b/>
                <w:color w:val="000000"/>
                <w:szCs w:val="21"/>
              </w:rPr>
            </w:pPr>
            <w:r>
              <w:rPr>
                <w:rFonts w:hint="eastAsia" w:ascii="新宋体" w:hAnsi="新宋体" w:eastAsia="新宋体" w:cs="新宋体"/>
                <w:b/>
                <w:szCs w:val="21"/>
              </w:rPr>
              <w:t>二、图书音像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9</w:t>
            </w:r>
          </w:p>
        </w:tc>
        <w:tc>
          <w:tcPr>
            <w:tcW w:w="495" w:type="dxa"/>
            <w:vAlign w:val="center"/>
          </w:tcPr>
          <w:p>
            <w:pPr>
              <w:rPr>
                <w:rFonts w:hint="eastAsia" w:ascii="新宋体" w:hAnsi="新宋体" w:eastAsia="新宋体" w:cs="新宋体"/>
                <w:szCs w:val="21"/>
              </w:rPr>
            </w:pPr>
            <w:r>
              <w:rPr>
                <w:rFonts w:hint="eastAsia" w:ascii="新宋体" w:hAnsi="新宋体" w:eastAsia="新宋体" w:cs="新宋体"/>
                <w:szCs w:val="21"/>
              </w:rPr>
              <w:t>图书音像</w:t>
            </w:r>
          </w:p>
        </w:tc>
        <w:tc>
          <w:tcPr>
            <w:tcW w:w="767"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书籍</w:t>
            </w:r>
          </w:p>
        </w:tc>
        <w:tc>
          <w:tcPr>
            <w:tcW w:w="4962" w:type="dxa"/>
            <w:vAlign w:val="center"/>
          </w:tcPr>
          <w:p>
            <w:pPr>
              <w:widowControl/>
              <w:rPr>
                <w:rFonts w:hint="eastAsia" w:ascii="新宋体" w:hAnsi="新宋体" w:eastAsia="新宋体" w:cs="新宋体"/>
                <w:szCs w:val="21"/>
              </w:rPr>
            </w:pPr>
            <w:r>
              <w:rPr>
                <w:rFonts w:hint="eastAsia" w:ascii="新宋体" w:hAnsi="新宋体" w:eastAsia="新宋体" w:cs="新宋体"/>
                <w:szCs w:val="21"/>
              </w:rPr>
              <w:t>特殊教育专业书籍及杂志、一般教育/心理书籍、教法类图书、康复医学类图书及各种专业工具书籍包括手语类、盲文类等相关图书等；</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ind w:firstLine="3162" w:firstLineChars="1500"/>
              <w:rPr>
                <w:rFonts w:hint="eastAsia" w:ascii="新宋体" w:hAnsi="新宋体" w:eastAsia="新宋体" w:cs="新宋体"/>
                <w:b/>
                <w:color w:val="000000"/>
                <w:szCs w:val="21"/>
              </w:rPr>
            </w:pPr>
            <w:r>
              <w:rPr>
                <w:rFonts w:hint="eastAsia" w:ascii="新宋体" w:hAnsi="新宋体" w:eastAsia="新宋体" w:cs="新宋体"/>
                <w:b/>
                <w:color w:val="000000"/>
                <w:szCs w:val="21"/>
              </w:rPr>
              <w:t>三、益智类教具学具类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序号</w:t>
            </w:r>
          </w:p>
        </w:tc>
        <w:tc>
          <w:tcPr>
            <w:tcW w:w="495"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产品名称</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设备名称</w:t>
            </w:r>
          </w:p>
        </w:tc>
        <w:tc>
          <w:tcPr>
            <w:tcW w:w="4962"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rPr>
              <w:t>技术参数</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数量</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10</w:t>
            </w:r>
          </w:p>
        </w:tc>
        <w:tc>
          <w:tcPr>
            <w:tcW w:w="495" w:type="dxa"/>
            <w:vMerge w:val="restart"/>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蒙台梭利教具</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四层教具柜</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szCs w:val="21"/>
              </w:rPr>
              <w:t>长*宽*高=110 X 30 X 80 cm 樟子松，天然纯实木，无结疤，儿童环保漆</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11</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三层教具柜</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szCs w:val="21"/>
              </w:rPr>
              <w:t>长*宽*高=110 X 30 X 65 cm 樟子松，天然纯实木，无结疤，儿童环保漆</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12</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粉红塔教具架</w:t>
            </w:r>
          </w:p>
        </w:tc>
        <w:tc>
          <w:tcPr>
            <w:tcW w:w="4962" w:type="dxa"/>
            <w:vAlign w:val="center"/>
          </w:tcPr>
          <w:p>
            <w:pPr>
              <w:rPr>
                <w:rFonts w:hint="eastAsia" w:ascii="新宋体" w:hAnsi="新宋体" w:eastAsia="新宋体" w:cs="新宋体"/>
                <w:szCs w:val="21"/>
              </w:rPr>
            </w:pPr>
            <w:r>
              <w:rPr>
                <w:rFonts w:hint="eastAsia" w:ascii="新宋体" w:hAnsi="新宋体" w:eastAsia="新宋体" w:cs="新宋体"/>
                <w:szCs w:val="21"/>
              </w:rPr>
              <w:t>长*宽*高=110 X 30 X 80 cm</w:t>
            </w:r>
          </w:p>
          <w:p>
            <w:pPr>
              <w:rPr>
                <w:rFonts w:hint="eastAsia" w:ascii="新宋体" w:hAnsi="新宋体" w:eastAsia="新宋体" w:cs="新宋体"/>
                <w:color w:val="000000"/>
                <w:szCs w:val="21"/>
              </w:rPr>
            </w:pPr>
            <w:r>
              <w:rPr>
                <w:rFonts w:hint="eastAsia" w:ascii="新宋体" w:hAnsi="新宋体" w:eastAsia="新宋体" w:cs="新宋体"/>
                <w:szCs w:val="21"/>
              </w:rPr>
              <w:t>天然纯实木，无结疤，儿童环保漆</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szCs w:val="21"/>
              </w:rPr>
              <w:t>13</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widowControl/>
              <w:jc w:val="center"/>
              <w:rPr>
                <w:rFonts w:hint="eastAsia" w:ascii="新宋体" w:hAnsi="新宋体" w:eastAsia="新宋体" w:cs="新宋体"/>
                <w:color w:val="000000"/>
                <w:szCs w:val="21"/>
              </w:rPr>
            </w:pPr>
            <w:r>
              <w:rPr>
                <w:rFonts w:hint="eastAsia" w:ascii="新宋体" w:hAnsi="新宋体" w:eastAsia="新宋体" w:cs="新宋体"/>
                <w:kern w:val="0"/>
                <w:szCs w:val="21"/>
              </w:rPr>
              <w:t>蒙台梭利88件套</w:t>
            </w:r>
          </w:p>
        </w:tc>
        <w:tc>
          <w:tcPr>
            <w:tcW w:w="4962" w:type="dxa"/>
            <w:vAlign w:val="center"/>
          </w:tcPr>
          <w:p>
            <w:pPr>
              <w:widowControl/>
              <w:rPr>
                <w:rFonts w:hint="eastAsia" w:ascii="新宋体" w:hAnsi="新宋体" w:eastAsia="新宋体" w:cs="新宋体"/>
                <w:color w:val="000000"/>
                <w:szCs w:val="21"/>
              </w:rPr>
            </w:pPr>
            <w:r>
              <w:rPr>
                <w:rFonts w:hint="eastAsia" w:ascii="新宋体" w:hAnsi="新宋体" w:eastAsia="新宋体" w:cs="新宋体"/>
                <w:color w:val="000000"/>
                <w:kern w:val="0"/>
                <w:szCs w:val="21"/>
              </w:rPr>
              <w:t>插座圆柱体：由4组圆柱体组成。培养儿童辨别大小、高低、粗细、深浅的触觉、视觉能力，依圆柱体顺序对应培养逻辑思考敏锐观察能力；把握圆柄可作握笔练习和写字前准备。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棕色梯：由10块长方体组成。透过触觉、视觉的辨别在知觉上对等次的差异有充分的认识，发展眼、手、肌肉的动作协调；了解递进、递减的关系；学习长方体的概念；培养逻辑思考（顺序性和专注观察能力。）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粉红塔： 由10块立方体组成。透过视觉正确获得对三维空间差别变化的知觉；了解递进、递减的关系；培养立方体的概念、手眼协调 和肌肉运动的控制力；积高时敏锐的观察力；数学教育（理解十进制法）的间接准备；逻辑思考（顺序性）的能力。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音桶：两个木箱中各有6个木制圆筒组成，圆筒内装有石子、沙子、壳类、米粒、米糠等不同材料，摇动时发出强弱不同的声音。培养辨别声音强弱的听觉能力，发展腕部的肌肉运动。</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温量板： 由金属、石材、木质、地毯片各2块组成，培养对温度的感觉，辨别温度的差异。</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构成三角形：由5盒不同的三角形块组成。透过视觉认识三角形，通过对多边形的组合与分解了解三角形与多边形的几何关系和相等概念。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重量板：进口实木6组12个。培养辨别轻重的感觉和判断力。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几何图形嵌板柜：由几何嵌板操作1个屉、6层几何嵌板橱1个、几何嵌板35块、几何图形卡片99张组成。通过肌肉和触觉的联合，帮助视觉认识平面几何图形；发展手眼协调、注意力和观察力；平面几何学的预备。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三项式：木制立方体和长方体共27块组成。培养视觉对三次元的辨别能力，数学的思考能力，可作为三项式（a+b+c）³的代数教具使用。 (a+b+c)³=a³+3a²b+3a²c+b³+3ab²+3b²c+c³+3ac²+3bc²+6abc</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手眼协调圈：由5个可组装的锣口木柱和5个麻绳套圈组成，锻炼手眼协调能力。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几何体支柱：由1个插板盒、3个圆柱、3个三棱柱、3个四方柱组成。培养儿童对实体的感觉，认识几何体特征，可作颜色分类，高-&gt;低比较，排序</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立体四子棋：由16组64颗棋子组成，分成两组，锻炼观察与逻辑分析能力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彩色圆柱：由4盒、每盒10个圆柱组成。培养视觉上识别大小、对应概念，发展手眼动作的协调，手臂肌肉控制力，培养敏锐的观察和注意力。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长棒：由10根方长棒组成。透过触觉、视觉的辨别，在知觉上对长度的差别有正确的了解，发展手、眼与肌肉的协调性；数学教育（量，基本运算、十进制元、分制系统）的直接准备教具。</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味觉瓶：由8个滴瓶组成。品尝各式味道，培养辨别基本味觉的能力。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铁质几何嵌板：金属几何嵌板是书写能力的直接预备，练习金属嵌板不仅强化三指抓的能力，加强腕肌的协调力，而且透过描绘的练习，更可增强笔触力道的熟练度，重迭描绘不同的几何图形板使图形变化无穷。</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几何立体组：包括长方体、正方体、球体、椭球体、卵形体、三角柱、圆柱、圆椎、三角椎、四角椎，另有11枚与上述几何体的一个侧面相等的投影板组成。培养儿童对实体的感觉，认识各种几何体，了解其特征；进入几何学的准备，刺激肌肉的感觉。</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触觉板：由13块表面粗糙和光滑程度不同的木板组成。培养粗糙与光滑的触觉感和分析、比较的思维能力。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二项式：木制立方体和长方体共8块组成。培养视觉对立体空间的认识和数学思考能力，可作为计算体积(a+b)³ 的代数教具。(a+b)³=a³+3a²b+3ab²+b³</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色板：由大、中、小3盒各种颜色的小色板组成。培养分辨颜色的对色彩的美感，颜色的对比及组合的预备。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圆圆版：由100个彩色圆组成。可做颜色的排序、对应。</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圆柱体阶梯：由1个插板，25个高低、颜色不同的圆柱组成。可作颜色分类，高-&gt;低比较，排序。</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嗅觉筒：通过嗅觉筒的配对操作，训练嗅觉器官辨别各种气味的能力，利用嗅觉器官感知事物的经验。</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1-100 连续数板：儿童将活动数字卡片排列在一定的方格板上，认识1-100的排列并认识数的连续性。</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数棒： 由从短到长10根红、蓝相同的木棒和从1到10的10块数字片组成。数棒是代表连续“量”的教具。认识、了解数的及数词，记忆1到10，十进制法的预备，导入数的概念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二倍数： 由7个木块组成。培养2倍的概念，认识简单的倍数关系，导入平方概念。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乘除法板： 进行得数最大为100的乘法题目，熟练后可导入乘法心算。练习被除数最大为81以内除法题目，从感官上认识平均分配的概念，熟练后可导入除法心算。</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十进位及银行游戏：由10颗单珠、10根珠棒、10个100珠板、2个1000珠阵、4套数字卡片组成。了解十进制法的排列与形成，学习交换的规则，可做大数目四则运算。</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100 串珠链：由10根（每根10颗珠）珠棒串成一条组成。培养儿童练习1-100以内连续数，并熟悉十进法，培养分析综合能力和独立思维能力。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三倍数：用立方体或长方体等实物来显示三倍数之间的关系。</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黑白串珠棒： 加深了解十以内的数量的概念，体会等量交换的概念，可用于进行加减法运算练习。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平方珠链：由10串珠链（55个珠棒）组成。加强以1为单位的数的连续概念；学习平方的概念；乘算的预备。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赛根板：由4块板、18块数字片组成。对于11到19的数能正确的做名称练习；能把握连续数的排列，体会连续数的顺序关系；了解10位与个位数的关系；学习量与代表数量的符号（数字）的一致性</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加减法板：加数最大为9的加法练习，熟练后可导入加法心算；用于呈现被减数最到为18的减法运算练习，熟练后可导入减法心算。 </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邮票游戏：幼儿通过银行游戏认识十进制元法以后，即可进入邮票游戏的操作，熟悉数字的转换关系，并进行大数量的四则运算，培养数学思考能力。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分数小人： 由1个木座、小人4组10块组成。知道1个整体（=1）如何分成若干部分，作为进入分数的预备。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立方体：由1000颗边长为1厘米的立方块组成，学习立方的概念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数字与筹码：由55个圆片，10张1到10数字卡片组成。了解数与量的关系，认识奇数与偶数。</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体积组：认识整体与部分的关系，建立不同几何立体的体积可以换算的概念，发展儿童对空间的概念。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灰色串珠棒：熟悉十以内数量、数位与名称，为学习减法运算做准备。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砂数字板：由0到9数字长板1块，0到9数字单板10块组成。培养认识0到9的数字，练习书写数字，是写前的预备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纺锤棒箱：由2个整理箱、45根纺棰棒，10块数字片组成。指导0的概念，加强数与量集合的概念。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加减乘除矩阵盘：由10檔彩色算珠组成，每檔10个算珠，学习加减乘除。</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数数棒：学习0-10的概念、10以内的加减法</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彩色小数棒：学习0-10的概念、10以内的加减法。</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立方珠链及框架：由1个框架、55串珠链（385根珠棒）组成。学习立方的概念和学乘法的预备。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接龙减龙：练习加减混合运算，增加儿童对数学的兴趣，培养孩子的逻辑思考能力。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彩色串珠棒：熟悉十以内数量、数字与名称，为学习平方、立方做间接准备。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算数尺：由标有1公分刻度的尺子组成，可进行加减法的运算。</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秤盘组：由天平、称盘与彩色木珠组成，学习数量与平衡的关系。</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圆形分数板：由彩色23片圆形分数板、1个双面钉板组成。认识分数，了解部分与整体的关系，增进组合概念。利用钉板背面，配二长短、颜色不同的橡皮筋，可发挥幼儿的想象力与创造力。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四方拼盘：由三角形、正方形、平行四边形木块组成，学习几何图形与关系。</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分解几何盘：由1个木座、9组多种几何图形组成。是进入分数的预备。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1000 串珠链：由100根（每根10颗珠）珠棒串成一条组成。加强对数的认识；熟悉连续数及其顺序；与100串珠板、1000的立方体珠块比较，培养差别的印象，加强十进制法知识，培养专注力与独立性。</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黄色串珠：认识数与量等量交换的概念，为进行银行游戏做准备。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数字拼版：熟悉数字，理解数与量的关系，培养数学学习兴趣</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不规则拼盘：由不规则几何图形嵌板组成，认识几何图形与锻炼观察能力。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一公分方块组：刻度为1公分的连接尺组成，学习加减运算方法</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几何图形板：认识几何图形，为学习几何知识打基础。</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天平组：由天平、木棍与彩色串珠组成，学习数量、加减与平衡的关系。</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十进位组：由1公分方块与10块连接条，以及10平方连接块组成，学习十进制制的关系。</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几何体阶梯：进口实木5组，可作颜色分类，三种几何图形，感官学习，高→低比较、排序。</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组合几何体盘：由正5边形、正方形、正三角形、长方形与圆形的面积分解组合，学习分数、面积的关系。</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数数看：由1-5彩色算珠架组成。可进行分类、集合、分解、量的学习。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双字母砂字板：熟悉汉语拼音的组成及发音，练习书写。</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印刷字母箱：由大小写印刷字母各5套、布袋2个组成。认识英文字母大小写的印刷体。</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砂字母板：由大小写砂纸字母板各26块组成。通过触摸认识英文字母，为书写做预备。</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活动字母箱：熟悉字母，练习单词的拼写。</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拼音结构练习：练习汉语拼音的正确组合，掌握拼音拼读规</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中国地图： 由1套嵌板组成。了解中国的位置，认识各省、直辖市、自治区和省会城市的位置；培养空间思维。</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活动时钟：直观认识时钟的构成，了解时间概念，为看生活中的表打基础。</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亚洲地图：认识亚洲各个国家的位置、名称及风土人情，初步认识地理的空间概念。</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八大行星：由1套嵌板组成，认识太阳系，了解九大行星位置，培养空间思维。</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世界地图：由1套嵌板组成。建立地图概念，从地图上认识世界上7大洲和4大洋的位置，培养空思维。</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叶嵌板：培养手眼协作及独立性提高观察分析能力和专注力，了解 植物的叶的各个部分的基本构造。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鸟嵌板：培养手眼协作及独立性提高观察分析能力和专注力，了解动物—鸟的各个部分的基本构造。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乌龟嵌板：培养手眼协作及独立性提高观察分析能力和专注力，了解动物的乌龟的各个部分的基本构造。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鱼嵌板：培养手眼协作及独立性提高观察分析能力和专注力，了解动物的鱼的各个部分的基本构造。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青蛙嵌板：培养手眼协作及独立性提高观察分析能力和专注力，了解动物—青蛙的各个部分的基本构造。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花嵌板：培养手眼协作及独立性提高观察分析能力和专注力，了解植物的花的各个部分的基本构造。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树嵌板：培养手眼协作及独立性提高观察分析能力和专注力，了解植物的树的各个部分的基本构造。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马嵌板：培养手眼协作及独立性提高观察分析能力和专注力，了解动物的马的各个部分的基本构造。</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树叶嵌板柜：由14块树叶嵌板,5层木橱1个组成。学习识别各种树叶、植物。</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动物卡片：学习识别各种动物</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植物卡片：学习识别各种动物植物。</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二指抓：由1个插座板、9个小人组成。锻练两指抓物的能力，提高手眼协调能力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衣饰架：由1个架、12个框、12件衣饰组成。学会各种绳带、纽扣的系法，锻练手指灵活性，培养适应日常生活的自理能力。</w:t>
            </w:r>
            <w:r>
              <w:rPr>
                <w:rFonts w:hint="eastAsia" w:ascii="新宋体" w:hAnsi="新宋体" w:eastAsia="新宋体" w:cs="新宋体"/>
                <w:color w:val="000000"/>
                <w:kern w:val="0"/>
                <w:szCs w:val="21"/>
              </w:rPr>
              <w:br w:type="textWrapping"/>
            </w:r>
            <w:r>
              <w:rPr>
                <w:rFonts w:hint="eastAsia" w:ascii="新宋体" w:hAnsi="新宋体" w:eastAsia="新宋体" w:cs="新宋体"/>
                <w:color w:val="000000"/>
                <w:kern w:val="0"/>
                <w:szCs w:val="21"/>
              </w:rPr>
              <w:t xml:space="preserve">  动物标本：动物类标</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kern w:val="0"/>
                <w:szCs w:val="21"/>
              </w:rPr>
              <w:t>1</w:t>
            </w:r>
          </w:p>
        </w:tc>
        <w:tc>
          <w:tcPr>
            <w:tcW w:w="1984" w:type="dxa"/>
            <w:vAlign w:val="center"/>
          </w:tcPr>
          <w:p>
            <w:pPr>
              <w:widowControl/>
              <w:jc w:val="center"/>
              <w:textAlignment w:val="top"/>
              <w:rPr>
                <w:rFonts w:hint="eastAsia" w:ascii="新宋体" w:hAnsi="新宋体" w:eastAsia="新宋体" w:cs="新宋体"/>
                <w:color w:val="000000"/>
                <w:szCs w:val="21"/>
              </w:rPr>
            </w:pPr>
            <w:r>
              <w:rPr>
                <w:rFonts w:hint="eastAsia" w:ascii="新宋体" w:hAnsi="新宋体" w:eastAsia="新宋体" w:cs="新宋体"/>
                <w:kern w:val="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14</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八大领域</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教具操作配套书籍</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15</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蒙台梭利师资培训理论指南</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蒙台梭利师资培训理论指南</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16</w:t>
            </w:r>
          </w:p>
        </w:tc>
        <w:tc>
          <w:tcPr>
            <w:tcW w:w="495" w:type="dxa"/>
            <w:vMerge w:val="continue"/>
            <w:vAlign w:val="center"/>
          </w:tcPr>
          <w:p>
            <w:pPr>
              <w:jc w:val="center"/>
              <w:rPr>
                <w:rFonts w:hint="eastAsia" w:ascii="新宋体" w:hAnsi="新宋体" w:eastAsia="新宋体" w:cs="新宋体"/>
                <w:color w:val="000000"/>
                <w:szCs w:val="21"/>
              </w:rPr>
            </w:pP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图书</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科学的蒙台梭利、蒙台梭利原著</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jc w:val="center"/>
              <w:rPr>
                <w:rFonts w:hint="eastAsia" w:ascii="新宋体" w:hAnsi="新宋体" w:eastAsia="新宋体" w:cs="新宋体"/>
                <w:color w:val="000000"/>
                <w:szCs w:val="21"/>
              </w:rPr>
            </w:pPr>
            <w:r>
              <w:rPr>
                <w:rFonts w:hint="eastAsia" w:ascii="新宋体" w:hAnsi="新宋体" w:eastAsia="新宋体" w:cs="新宋体"/>
                <w:b/>
                <w:bCs/>
                <w:color w:val="000000"/>
                <w:szCs w:val="21"/>
              </w:rPr>
              <w:t>四、肢体运动辅助类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序号</w:t>
            </w:r>
          </w:p>
        </w:tc>
        <w:tc>
          <w:tcPr>
            <w:tcW w:w="495"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产品名称</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设备名称</w:t>
            </w:r>
          </w:p>
        </w:tc>
        <w:tc>
          <w:tcPr>
            <w:tcW w:w="4962"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技术参数</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数量</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17</w:t>
            </w:r>
          </w:p>
        </w:tc>
        <w:tc>
          <w:tcPr>
            <w:tcW w:w="495" w:type="dxa"/>
            <w:vMerge w:val="restart"/>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大动作训练系统</w:t>
            </w:r>
          </w:p>
        </w:tc>
        <w:tc>
          <w:tcPr>
            <w:tcW w:w="767" w:type="dxa"/>
            <w:vAlign w:val="center"/>
          </w:tcPr>
          <w:p>
            <w:pPr>
              <w:autoSpaceDE w:val="0"/>
              <w:autoSpaceDN w:val="0"/>
              <w:adjustRightInd w:val="0"/>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减压助</w:t>
            </w:r>
            <w:r>
              <w:rPr>
                <w:rFonts w:hint="eastAsia" w:ascii="新宋体" w:hAnsi="新宋体" w:eastAsia="新宋体" w:cs="新宋体"/>
                <w:color w:val="000000" w:themeColor="text1"/>
                <w:szCs w:val="21"/>
              </w:rPr>
              <w:t>步仪</w:t>
            </w:r>
          </w:p>
          <w:p>
            <w:pPr>
              <w:autoSpaceDE w:val="0"/>
              <w:autoSpaceDN w:val="0"/>
              <w:adjustRightInd w:val="0"/>
              <w:jc w:val="center"/>
              <w:rPr>
                <w:rFonts w:hint="eastAsia" w:ascii="新宋体" w:hAnsi="新宋体" w:eastAsia="新宋体" w:cs="新宋体"/>
                <w:color w:val="000000" w:themeColor="text1"/>
                <w:szCs w:val="21"/>
              </w:rPr>
            </w:pPr>
          </w:p>
        </w:tc>
        <w:tc>
          <w:tcPr>
            <w:tcW w:w="4962" w:type="dxa"/>
            <w:vAlign w:val="center"/>
          </w:tcPr>
          <w:p>
            <w:pPr>
              <w:pStyle w:val="43"/>
              <w:ind w:firstLine="0" w:firstLineChars="0"/>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rPr>
              <w:t>组成：支撑杆、臂托、手柄、尼龙绳固定块、弹带尼龙绳、高度调节夹块、止退脚轮▲支撑杆曲率半径：1600mm▲下端支撑杆调节范围：0-300mm支撑杆：高品质型材，弧度符合人体步态曲线。通过高度调节夹块，调节到使用者合适的高度。滚轮：独特的防后退设计，可在平地，草地等各类平坦地面使用。臂托：人体工学设计，减少关节损伤。功能：用于支持步态训练，在训练工程中改善上体的直立度；减少脊柱以及下肢主要关节的承受的负载和冲击；加大步幅，提高关节活动度；为上臂提供一定的力量训练；通过带动全身肌肉改善心血管功能，提高血液循环和代谢。</w:t>
            </w:r>
            <w:r>
              <w:rPr>
                <w:rFonts w:hint="eastAsia" w:ascii="新宋体" w:hAnsi="新宋体" w:eastAsia="新宋体" w:cs="新宋体"/>
                <w:color w:val="000000" w:themeColor="text1"/>
              </w:rPr>
              <w:t>★</w:t>
            </w:r>
            <w:r>
              <w:rPr>
                <w:rFonts w:hint="eastAsia" w:ascii="新宋体" w:hAnsi="新宋体" w:eastAsia="新宋体" w:cs="新宋体"/>
                <w:color w:val="000000" w:themeColor="text1"/>
              </w:rPr>
              <w:t>须提供产品经质量监督检验机构出具的检验报告（提供原件扫描件并加盖制造商公章，否则投标无效）。</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18</w:t>
            </w:r>
          </w:p>
        </w:tc>
        <w:tc>
          <w:tcPr>
            <w:tcW w:w="495" w:type="dxa"/>
            <w:vMerge w:val="continue"/>
            <w:vAlign w:val="center"/>
          </w:tcPr>
          <w:p>
            <w:pPr>
              <w:jc w:val="center"/>
              <w:rPr>
                <w:rFonts w:hint="eastAsia" w:ascii="新宋体" w:hAnsi="新宋体" w:eastAsia="新宋体" w:cs="新宋体"/>
                <w:color w:val="000000" w:themeColor="text1"/>
                <w:szCs w:val="21"/>
              </w:rPr>
            </w:pPr>
          </w:p>
        </w:tc>
        <w:tc>
          <w:tcPr>
            <w:tcW w:w="767" w:type="dxa"/>
            <w:vAlign w:val="center"/>
          </w:tcPr>
          <w:p>
            <w:pPr>
              <w:autoSpaceDE w:val="0"/>
              <w:autoSpaceDN w:val="0"/>
              <w:adjustRightInd w:val="0"/>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液压式踏步器</w:t>
            </w:r>
          </w:p>
        </w:tc>
        <w:tc>
          <w:tcPr>
            <w:tcW w:w="4962" w:type="dxa"/>
            <w:vAlign w:val="center"/>
          </w:tcPr>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一、产品组成</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由电子表、扶手、油缸、脚踏板、机架组成。</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二、主要技术指标和参数</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1）外形尺寸（长×宽×高）：820mm×780mm×1300mm</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2）两扶手中心距离：630mm</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3）扶手高端中心离地高度：1020mm</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4）两踏脚板中心距离：210mm</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5）踏板安全工作载荷：100㎏</w:t>
            </w:r>
          </w:p>
          <w:p>
            <w:pPr>
              <w:pStyle w:val="43"/>
              <w:jc w:val="left"/>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6）油缸力值调节档数：12档</w:t>
            </w:r>
          </w:p>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7）油缸的工作行程：80mm</w:t>
            </w:r>
            <w:r>
              <w:rPr>
                <w:rFonts w:hint="eastAsia" w:ascii="新宋体" w:hAnsi="新宋体" w:eastAsia="新宋体" w:cs="新宋体"/>
                <w:color w:val="000000" w:themeColor="text1"/>
                <w:szCs w:val="21"/>
              </w:rPr>
              <w:t xml:space="preserve">                    </w:t>
            </w:r>
          </w:p>
        </w:tc>
        <w:tc>
          <w:tcPr>
            <w:tcW w:w="567" w:type="dxa"/>
            <w:vAlign w:val="center"/>
          </w:tcPr>
          <w:p>
            <w:pPr>
              <w:jc w:val="center"/>
              <w:rPr>
                <w:rFonts w:hint="eastAsia" w:ascii="新宋体" w:hAnsi="新宋体" w:eastAsia="新宋体" w:cs="新宋体"/>
                <w:bCs/>
                <w:szCs w:val="21"/>
              </w:rPr>
            </w:pPr>
            <w:r>
              <w:rPr>
                <w:rFonts w:hint="eastAsia" w:ascii="新宋体" w:hAnsi="新宋体" w:eastAsia="新宋体" w:cs="新宋体"/>
                <w:bCs/>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19</w:t>
            </w:r>
          </w:p>
        </w:tc>
        <w:tc>
          <w:tcPr>
            <w:tcW w:w="495" w:type="dxa"/>
            <w:vMerge w:val="restart"/>
            <w:vAlign w:val="center"/>
          </w:tcPr>
          <w:p>
            <w:pPr>
              <w:autoSpaceDE w:val="0"/>
              <w:autoSpaceDN w:val="0"/>
              <w:adjustRightInd w:val="0"/>
              <w:rPr>
                <w:rFonts w:hint="eastAsia" w:ascii="新宋体" w:hAnsi="新宋体" w:eastAsia="新宋体" w:cs="新宋体"/>
                <w:color w:val="000000"/>
                <w:szCs w:val="21"/>
              </w:rPr>
            </w:pPr>
            <w:r>
              <w:rPr>
                <w:rFonts w:hint="eastAsia" w:ascii="新宋体" w:hAnsi="新宋体" w:eastAsia="新宋体" w:cs="新宋体"/>
                <w:color w:val="000000"/>
                <w:szCs w:val="21"/>
              </w:rPr>
              <w:t>感知统合训练系统</w:t>
            </w: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踩踏石</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外形尺寸/cm：16×11×62</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每组共3对6个，备红、黄、蓝3色，附绳可装卸，训练儿童平衡，逻辑思考能力。</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20</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按摩大龙球</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外形尺寸/cm：Φ74</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适用于儿童进行感知/认知功能训练。</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21</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拉环羊角球</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外形尺寸/cm：Φ46</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适用于儿童进行感知/认知功能训练。</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22</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羊角球</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外形尺寸/cm：Φ56</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适用于儿童进行感知/认知功能训练。</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23</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宝贝软球</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外形尺寸/cm：Φ23</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表面柔软，在儿童玩耍的同时又有按摩作用。</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24</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打不痛球</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外形尺寸/cm：Φ28</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表面柔软，弹性强，适合儿童玩耍。</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25</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圆形滑车</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外形尺寸/cm：73×73×22</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训练儿童前庭平衡，视觉阅读能力。</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pStyle w:val="2"/>
              <w:jc w:val="center"/>
              <w:rPr>
                <w:rFonts w:hint="eastAsia" w:ascii="新宋体" w:hAnsi="新宋体" w:eastAsia="新宋体" w:cs="新宋体"/>
                <w:sz w:val="21"/>
                <w:szCs w:val="21"/>
              </w:rPr>
            </w:pPr>
            <w:r>
              <w:rPr>
                <w:rFonts w:hint="eastAsia" w:ascii="新宋体" w:hAnsi="新宋体" w:eastAsia="新宋体" w:cs="新宋体"/>
                <w:sz w:val="21"/>
                <w:szCs w:val="21"/>
              </w:rPr>
              <w:t>26</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脊椎坐垫</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外形尺寸/cm：33×33×6</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帮助背部肌肉和脊椎损伤者减轻压力和疼痛。</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27</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蜗牛平衡板</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外形尺寸/cm：Φ54</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在平衡姿势中训练儿童的专注能力</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28</w:t>
            </w:r>
          </w:p>
        </w:tc>
        <w:tc>
          <w:tcPr>
            <w:tcW w:w="495" w:type="dxa"/>
            <w:vMerge w:val="continue"/>
            <w:vAlign w:val="center"/>
          </w:tcPr>
          <w:p>
            <w:pPr>
              <w:autoSpaceDE w:val="0"/>
              <w:autoSpaceDN w:val="0"/>
              <w:adjustRightInd w:val="0"/>
              <w:rPr>
                <w:rFonts w:hint="eastAsia" w:ascii="新宋体" w:hAnsi="新宋体" w:eastAsia="新宋体" w:cs="新宋体"/>
                <w:color w:val="000000"/>
                <w:szCs w:val="21"/>
              </w:rPr>
            </w:pPr>
          </w:p>
        </w:tc>
        <w:tc>
          <w:tcPr>
            <w:tcW w:w="767" w:type="dxa"/>
            <w:vAlign w:val="center"/>
          </w:tcPr>
          <w:p>
            <w:pPr>
              <w:widowControl/>
              <w:snapToGrid w:val="0"/>
              <w:jc w:val="center"/>
              <w:rPr>
                <w:rFonts w:hint="eastAsia" w:ascii="新宋体" w:hAnsi="新宋体" w:eastAsia="新宋体" w:cs="新宋体"/>
                <w:szCs w:val="21"/>
              </w:rPr>
            </w:pPr>
            <w:r>
              <w:rPr>
                <w:rFonts w:hint="eastAsia" w:ascii="新宋体" w:hAnsi="新宋体" w:eastAsia="新宋体" w:cs="新宋体"/>
                <w:szCs w:val="21"/>
              </w:rPr>
              <w:t>摇滚跷跷板</w:t>
            </w:r>
          </w:p>
        </w:tc>
        <w:tc>
          <w:tcPr>
            <w:tcW w:w="4962" w:type="dxa"/>
            <w:vAlign w:val="center"/>
          </w:tcPr>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外形尺寸/cm：55×23×14</w:t>
            </w:r>
          </w:p>
          <w:p>
            <w:pPr>
              <w:widowControl/>
              <w:jc w:val="left"/>
              <w:rPr>
                <w:rFonts w:hint="eastAsia" w:ascii="新宋体" w:hAnsi="新宋体" w:eastAsia="新宋体" w:cs="新宋体"/>
                <w:color w:val="000000"/>
                <w:kern w:val="0"/>
                <w:szCs w:val="21"/>
              </w:rPr>
            </w:pPr>
            <w:r>
              <w:rPr>
                <w:rFonts w:hint="eastAsia" w:ascii="新宋体" w:hAnsi="新宋体" w:eastAsia="新宋体" w:cs="新宋体"/>
                <w:color w:val="000000"/>
                <w:kern w:val="0"/>
                <w:szCs w:val="21"/>
              </w:rPr>
              <w:t>训练儿童前庭平衡，身体协调能力，踏板防滑设计，触点稳定、安全。</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bCs/>
                <w:szCs w:val="21"/>
              </w:rPr>
              <w:t>1</w:t>
            </w:r>
          </w:p>
        </w:tc>
        <w:tc>
          <w:tcPr>
            <w:tcW w:w="1984" w:type="dxa"/>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color w:val="000000"/>
                <w:kern w:val="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autoSpaceDE w:val="0"/>
              <w:autoSpaceDN w:val="0"/>
              <w:adjustRightInd w:val="0"/>
              <w:jc w:val="center"/>
              <w:rPr>
                <w:rFonts w:hint="eastAsia" w:ascii="新宋体" w:hAnsi="新宋体" w:eastAsia="新宋体" w:cs="新宋体"/>
                <w:b/>
                <w:color w:val="000000"/>
                <w:kern w:val="0"/>
                <w:szCs w:val="21"/>
              </w:rPr>
            </w:pPr>
            <w:r>
              <w:rPr>
                <w:rFonts w:hint="eastAsia" w:ascii="新宋体" w:hAnsi="新宋体" w:eastAsia="新宋体" w:cs="新宋体"/>
                <w:b/>
                <w:color w:val="000000"/>
                <w:kern w:val="0"/>
                <w:szCs w:val="21"/>
              </w:rPr>
              <w:t>五、心理辅导类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34" w:type="dxa"/>
            <w:vAlign w:val="center"/>
          </w:tcPr>
          <w:p>
            <w:pPr>
              <w:rPr>
                <w:rFonts w:hint="eastAsia" w:ascii="新宋体" w:hAnsi="新宋体" w:eastAsia="新宋体" w:cs="新宋体"/>
                <w:szCs w:val="21"/>
              </w:rPr>
            </w:pPr>
            <w:r>
              <w:rPr>
                <w:rFonts w:hint="eastAsia" w:ascii="新宋体" w:hAnsi="新宋体" w:eastAsia="新宋体" w:cs="新宋体"/>
                <w:color w:val="000000"/>
                <w:szCs w:val="21"/>
              </w:rPr>
              <w:t>序号</w:t>
            </w:r>
          </w:p>
        </w:tc>
        <w:tc>
          <w:tcPr>
            <w:tcW w:w="495" w:type="dxa"/>
            <w:vAlign w:val="center"/>
          </w:tcPr>
          <w:p>
            <w:pPr>
              <w:jc w:val="center"/>
              <w:rPr>
                <w:rFonts w:hint="eastAsia" w:ascii="新宋体" w:hAnsi="新宋体" w:eastAsia="新宋体" w:cs="新宋体"/>
                <w:color w:val="000000"/>
                <w:szCs w:val="21"/>
                <w:lang w:bidi="ar"/>
              </w:rPr>
            </w:pPr>
            <w:r>
              <w:rPr>
                <w:rFonts w:hint="eastAsia" w:ascii="新宋体" w:hAnsi="新宋体" w:eastAsia="新宋体" w:cs="新宋体"/>
                <w:color w:val="000000"/>
                <w:szCs w:val="21"/>
              </w:rPr>
              <w:t>产品名称</w:t>
            </w:r>
          </w:p>
        </w:tc>
        <w:tc>
          <w:tcPr>
            <w:tcW w:w="767" w:type="dxa"/>
            <w:vAlign w:val="center"/>
          </w:tcPr>
          <w:p>
            <w:pPr>
              <w:jc w:val="center"/>
              <w:rPr>
                <w:rFonts w:hint="eastAsia" w:ascii="新宋体" w:hAnsi="新宋体" w:eastAsia="新宋体" w:cs="新宋体"/>
                <w:color w:val="000000"/>
                <w:szCs w:val="21"/>
                <w:lang w:bidi="ar"/>
              </w:rPr>
            </w:pPr>
            <w:r>
              <w:rPr>
                <w:rFonts w:hint="eastAsia" w:ascii="新宋体" w:hAnsi="新宋体" w:eastAsia="新宋体" w:cs="新宋体"/>
                <w:color w:val="000000"/>
                <w:szCs w:val="21"/>
              </w:rPr>
              <w:t>设备名称</w:t>
            </w:r>
          </w:p>
        </w:tc>
        <w:tc>
          <w:tcPr>
            <w:tcW w:w="4962"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rPr>
              <w:t>技术参数</w:t>
            </w:r>
          </w:p>
        </w:tc>
        <w:tc>
          <w:tcPr>
            <w:tcW w:w="567"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rPr>
              <w:t>数量</w:t>
            </w:r>
          </w:p>
        </w:tc>
        <w:tc>
          <w:tcPr>
            <w:tcW w:w="1984"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34" w:type="dxa"/>
            <w:vAlign w:val="center"/>
          </w:tcPr>
          <w:p>
            <w:pPr>
              <w:rPr>
                <w:rFonts w:hint="eastAsia" w:ascii="新宋体" w:hAnsi="新宋体" w:eastAsia="新宋体" w:cs="新宋体"/>
                <w:szCs w:val="21"/>
              </w:rPr>
            </w:pPr>
            <w:r>
              <w:rPr>
                <w:rFonts w:hint="eastAsia" w:ascii="新宋体" w:hAnsi="新宋体" w:eastAsia="新宋体" w:cs="新宋体"/>
                <w:szCs w:val="21"/>
              </w:rPr>
              <w:t>29</w:t>
            </w:r>
          </w:p>
        </w:tc>
        <w:tc>
          <w:tcPr>
            <w:tcW w:w="495" w:type="dxa"/>
            <w:vAlign w:val="center"/>
          </w:tcPr>
          <w:p>
            <w:pPr>
              <w:rPr>
                <w:rFonts w:hint="eastAsia" w:ascii="新宋体" w:hAnsi="新宋体" w:eastAsia="新宋体" w:cs="新宋体"/>
                <w:color w:val="000000"/>
                <w:szCs w:val="21"/>
                <w:lang w:bidi="ar"/>
              </w:rPr>
            </w:pPr>
            <w:r>
              <w:rPr>
                <w:rFonts w:hint="eastAsia" w:ascii="新宋体" w:hAnsi="新宋体" w:eastAsia="新宋体" w:cs="新宋体"/>
                <w:color w:val="000000"/>
                <w:szCs w:val="21"/>
                <w:lang w:bidi="ar"/>
              </w:rPr>
              <w:t>音乐放松系统</w:t>
            </w:r>
          </w:p>
        </w:tc>
        <w:tc>
          <w:tcPr>
            <w:tcW w:w="767" w:type="dxa"/>
            <w:vAlign w:val="center"/>
          </w:tcPr>
          <w:p>
            <w:pPr>
              <w:jc w:val="center"/>
              <w:rPr>
                <w:rFonts w:hint="eastAsia" w:ascii="新宋体" w:hAnsi="新宋体" w:eastAsia="新宋体" w:cs="新宋体"/>
                <w:color w:val="000000"/>
                <w:szCs w:val="21"/>
                <w:lang w:bidi="ar"/>
              </w:rPr>
            </w:pPr>
            <w:r>
              <w:rPr>
                <w:rFonts w:hint="eastAsia" w:ascii="新宋体" w:hAnsi="新宋体" w:eastAsia="新宋体" w:cs="新宋体"/>
                <w:color w:val="000000"/>
                <w:szCs w:val="21"/>
                <w:lang w:bidi="ar"/>
              </w:rPr>
              <w:t>智能五行经络仪</w:t>
            </w:r>
          </w:p>
        </w:tc>
        <w:tc>
          <w:tcPr>
            <w:tcW w:w="4962" w:type="dxa"/>
            <w:vAlign w:val="center"/>
          </w:tcPr>
          <w:p>
            <w:pPr>
              <w:widowControl/>
              <w:jc w:val="left"/>
              <w:rPr>
                <w:rFonts w:hint="eastAsia" w:ascii="新宋体" w:hAnsi="新宋体" w:eastAsia="新宋体" w:cs="新宋体"/>
                <w:color w:val="000000"/>
                <w:kern w:val="0"/>
                <w:sz w:val="24"/>
                <w:szCs w:val="24"/>
                <w:lang w:bidi="ar"/>
              </w:rPr>
            </w:pPr>
            <w:r>
              <w:rPr>
                <w:rFonts w:hint="eastAsia" w:ascii="新宋体" w:hAnsi="新宋体" w:eastAsia="新宋体" w:cs="新宋体"/>
                <w:color w:val="000000"/>
                <w:kern w:val="0"/>
                <w:sz w:val="24"/>
                <w:szCs w:val="24"/>
                <w:lang w:bidi="ar"/>
              </w:rPr>
              <w:t>1、音乐按摩放松椅 1台</w:t>
            </w:r>
          </w:p>
          <w:p>
            <w:pPr>
              <w:widowControl/>
              <w:jc w:val="left"/>
              <w:rPr>
                <w:rFonts w:hint="eastAsia" w:ascii="新宋体" w:hAnsi="新宋体" w:eastAsia="新宋体" w:cs="新宋体"/>
                <w:color w:val="000000"/>
                <w:kern w:val="0"/>
                <w:sz w:val="24"/>
                <w:szCs w:val="24"/>
                <w:lang w:bidi="ar"/>
              </w:rPr>
            </w:pPr>
            <w:r>
              <w:rPr>
                <w:rFonts w:hint="eastAsia" w:ascii="新宋体" w:hAnsi="新宋体" w:eastAsia="新宋体" w:cs="新宋体"/>
                <w:color w:val="000000"/>
                <w:kern w:val="0"/>
                <w:sz w:val="24"/>
                <w:szCs w:val="24"/>
                <w:lang w:bidi="ar"/>
              </w:rPr>
              <w:t xml:space="preserve">   产品硬件参数：产品尺寸：155cm*78cm*110cm ，腿部可拉伸15CM  产品材质及设计：全机身透气亲肤PU皮质，流线型设计。局部气囊挤压 按摩强度调节,额定电压：220V  额定功率：120W , 5档速度可调节，三级气压可调节，采用L型直行导轨、3D机械手曲轨按摩、肩部按摩方式: 肩部气囊按摩、臀部按摩方式: 震动及气囊夹臀按摩、脚底按摩方式:滚轮式按摩，按摩手法: 揉捏 指压 推拿 叩击 拍打 拉伸，零动力联动按摩：靠椅两边扶手随着靠椅自动升降，达到零重力模拟状态，因身高差别腿部自由伸展设计，有效进行泰式拉筋。</w:t>
            </w:r>
          </w:p>
          <w:p>
            <w:pPr>
              <w:widowControl/>
              <w:jc w:val="left"/>
              <w:rPr>
                <w:rFonts w:hint="eastAsia" w:ascii="新宋体" w:hAnsi="新宋体" w:eastAsia="新宋体" w:cs="新宋体"/>
                <w:color w:val="000000"/>
                <w:kern w:val="0"/>
                <w:sz w:val="24"/>
                <w:szCs w:val="24"/>
                <w:lang w:bidi="ar"/>
              </w:rPr>
            </w:pPr>
            <w:r>
              <w:rPr>
                <w:rFonts w:hint="eastAsia" w:ascii="新宋体" w:hAnsi="新宋体" w:eastAsia="新宋体" w:cs="新宋体"/>
                <w:color w:val="000000"/>
                <w:kern w:val="0"/>
                <w:sz w:val="24"/>
                <w:szCs w:val="24"/>
                <w:lang w:bidi="ar"/>
              </w:rPr>
              <w:t xml:space="preserve"> 2、7.9英寸触摸平板1个：2K全贴合屏、A72六核 3+32G、支持音乐、心理图片、心理文章、心理电影等多种格式文件（内置安卓版催眠系统：含有匹兹堡睡眠质量测评；爱泼沃斯睡眠量表；阿森斯失眠量表等专业催眠量表；可以根据不同来访者的需要自由配搭心理音乐和放松脑波：在普通放松音乐中间自由穿插脑电波音乐，达到为不同来访者的不同需求和体验；可以自由切换系统背景图片；音乐放松系统：★1、多通道进入方式：a、注册进入，简单注册，直接用户名和密码即可完成注册；b、admin管理员进入；c、游客进入，游客可以无需注册也可以进入系统体验；★2、音乐放松：系统配置类音乐类型有：冥想空间，七天正念冥想，脑波系列，探索潜意识，五行音乐，心灵音乐馆等内容并可根据用户使用习惯自行添加音乐内容；★3、配置心理品质提升视频：</w:t>
            </w:r>
            <w:r>
              <w:rPr>
                <w:rFonts w:hint="eastAsia" w:ascii="新宋体" w:hAnsi="新宋体" w:eastAsia="新宋体" w:cs="新宋体"/>
                <w:color w:val="FF0000"/>
                <w:kern w:val="0"/>
                <w:sz w:val="24"/>
                <w:szCs w:val="24"/>
                <w:lang w:bidi="ar"/>
              </w:rPr>
              <w:t>心理品质提升鼓励视频：由20个以上人员以不同的方式对来访者赞美鼓励“你是最棒的”，达到提升自我肯定的效果。</w:t>
            </w:r>
            <w:r>
              <w:rPr>
                <w:rFonts w:hint="eastAsia" w:ascii="新宋体" w:hAnsi="新宋体" w:eastAsia="新宋体" w:cs="新宋体"/>
                <w:color w:val="000000"/>
                <w:kern w:val="0"/>
                <w:sz w:val="24"/>
                <w:szCs w:val="24"/>
                <w:lang w:bidi="ar"/>
              </w:rPr>
              <w:t>与放松训练视频，可根据用户使用习惯自行添加训练项目，通过电脑拷贝到设备指导文件下即可。★4、报告：表格方式的报告；★5、个人中心：可以编辑修改信息，管理员还可以通过个人中心批量导入用户信息与导出用户信息；★6、主题切换： 可以自由添加，拷贝到tf卡里面相应固定文件夹下即可实现；★7、呼吸训练：系统配置了多种呼吸训练模式，可以自主添加背景音乐； ★8、数据转移：系统可以把所有报告导出，导入功能，方便系统之间数据转移与共享。）</w:t>
            </w:r>
          </w:p>
          <w:p>
            <w:pPr>
              <w:widowControl/>
              <w:jc w:val="left"/>
              <w:rPr>
                <w:rFonts w:hint="eastAsia" w:ascii="新宋体" w:hAnsi="新宋体" w:eastAsia="新宋体" w:cs="新宋体"/>
                <w:color w:val="000000"/>
                <w:kern w:val="0"/>
                <w:sz w:val="24"/>
                <w:szCs w:val="24"/>
                <w:lang w:bidi="ar"/>
              </w:rPr>
            </w:pPr>
            <w:r>
              <w:rPr>
                <w:rFonts w:hint="eastAsia" w:ascii="新宋体" w:hAnsi="新宋体" w:eastAsia="新宋体" w:cs="新宋体"/>
                <w:color w:val="000000"/>
                <w:kern w:val="0"/>
                <w:sz w:val="24"/>
                <w:szCs w:val="24"/>
                <w:lang w:bidi="ar"/>
              </w:rPr>
              <w:t xml:space="preserve"> 3、平板支架 1个（支持方位调节，便于使用者调节显示器角度调整到适合自己的位置放置）</w:t>
            </w:r>
          </w:p>
          <w:p>
            <w:pPr>
              <w:widowControl/>
              <w:jc w:val="left"/>
              <w:rPr>
                <w:rFonts w:hint="eastAsia" w:ascii="新宋体" w:hAnsi="新宋体" w:eastAsia="新宋体" w:cs="新宋体"/>
                <w:sz w:val="24"/>
                <w:szCs w:val="24"/>
              </w:rPr>
            </w:pPr>
            <w:r>
              <w:rPr>
                <w:rFonts w:hint="eastAsia" w:ascii="新宋体" w:hAnsi="新宋体" w:eastAsia="新宋体" w:cs="新宋体"/>
                <w:color w:val="000000"/>
                <w:kern w:val="0"/>
                <w:sz w:val="24"/>
                <w:szCs w:val="24"/>
                <w:lang w:bidi="ar"/>
              </w:rPr>
              <w:t xml:space="preserve"> 4、音乐治疗指导书籍 1本：音乐治疗学的入门读物，介绍了音乐治疗的定义、发展历史、基本原理、治疗关系、方法技术、治疗程序，及其在儿童病领域、精神科疾病领域和老年病领域的应用。</w:t>
            </w:r>
            <w:r>
              <w:rPr>
                <w:rFonts w:hint="eastAsia" w:ascii="新宋体" w:hAnsi="新宋体" w:eastAsia="新宋体" w:cs="新宋体"/>
                <w:color w:val="FF0000"/>
                <w:kern w:val="0"/>
                <w:sz w:val="24"/>
                <w:szCs w:val="24"/>
                <w:lang w:bidi="ar"/>
              </w:rPr>
              <w:t>★有关鼓励/激励行为类型的视频作品登记证书（复印件）</w:t>
            </w:r>
          </w:p>
        </w:tc>
        <w:tc>
          <w:tcPr>
            <w:tcW w:w="567" w:type="dxa"/>
            <w:vAlign w:val="center"/>
          </w:tcPr>
          <w:p>
            <w:pPr>
              <w:rPr>
                <w:rFonts w:hint="eastAsia" w:ascii="新宋体" w:hAnsi="新宋体" w:eastAsia="新宋体" w:cs="新宋体"/>
                <w:szCs w:val="21"/>
              </w:rPr>
            </w:pPr>
            <w:r>
              <w:rPr>
                <w:rFonts w:hint="eastAsia" w:ascii="新宋体" w:hAnsi="新宋体" w:eastAsia="新宋体" w:cs="新宋体"/>
                <w:szCs w:val="21"/>
              </w:rPr>
              <w:t>1</w:t>
            </w:r>
          </w:p>
        </w:tc>
        <w:tc>
          <w:tcPr>
            <w:tcW w:w="198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34" w:type="dxa"/>
            <w:vAlign w:val="center"/>
          </w:tcPr>
          <w:p>
            <w:pPr>
              <w:rPr>
                <w:rFonts w:hint="eastAsia" w:ascii="新宋体" w:hAnsi="新宋体" w:eastAsia="新宋体" w:cs="新宋体"/>
                <w:szCs w:val="21"/>
              </w:rPr>
            </w:pPr>
            <w:r>
              <w:rPr>
                <w:rFonts w:hint="eastAsia" w:ascii="新宋体" w:hAnsi="新宋体" w:eastAsia="新宋体" w:cs="新宋体"/>
                <w:szCs w:val="21"/>
              </w:rPr>
              <w:t>30</w:t>
            </w:r>
          </w:p>
        </w:tc>
        <w:tc>
          <w:tcPr>
            <w:tcW w:w="495" w:type="dxa"/>
            <w:vAlign w:val="center"/>
          </w:tcPr>
          <w:p>
            <w:pPr>
              <w:rPr>
                <w:rFonts w:hint="eastAsia" w:ascii="新宋体" w:hAnsi="新宋体" w:eastAsia="新宋体" w:cs="新宋体"/>
                <w:szCs w:val="21"/>
              </w:rPr>
            </w:pPr>
            <w:r>
              <w:rPr>
                <w:rFonts w:hint="eastAsia" w:ascii="新宋体" w:hAnsi="新宋体" w:eastAsia="新宋体" w:cs="新宋体"/>
                <w:color w:val="000000"/>
                <w:szCs w:val="21"/>
                <w:lang w:bidi="ar"/>
              </w:rPr>
              <w:t>团体心理辅导系统</w:t>
            </w:r>
          </w:p>
        </w:tc>
        <w:tc>
          <w:tcPr>
            <w:tcW w:w="767"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lang w:bidi="ar"/>
              </w:rPr>
              <w:t>团体心理活动箱</w:t>
            </w:r>
          </w:p>
        </w:tc>
        <w:tc>
          <w:tcPr>
            <w:tcW w:w="4962" w:type="dxa"/>
            <w:vAlign w:val="center"/>
          </w:tcPr>
          <w:p>
            <w:pPr>
              <w:widowControl/>
              <w:jc w:val="left"/>
              <w:rPr>
                <w:rFonts w:hint="eastAsia" w:ascii="新宋体" w:hAnsi="新宋体" w:eastAsia="新宋体" w:cs="新宋体"/>
                <w:kern w:val="0"/>
                <w:szCs w:val="21"/>
                <w:lang w:bidi="ar"/>
              </w:rPr>
            </w:pPr>
            <w:r>
              <w:rPr>
                <w:rFonts w:hint="eastAsia" w:ascii="新宋体" w:hAnsi="新宋体" w:eastAsia="新宋体" w:cs="新宋体"/>
                <w:szCs w:val="21"/>
              </w:rPr>
              <w:t>需求描述：</w:t>
            </w:r>
            <w:r>
              <w:rPr>
                <w:rFonts w:hint="eastAsia" w:ascii="新宋体" w:hAnsi="新宋体" w:eastAsia="新宋体" w:cs="新宋体"/>
                <w:szCs w:val="21"/>
              </w:rPr>
              <w:br w:type="textWrapping"/>
            </w:r>
            <w:r>
              <w:rPr>
                <w:rFonts w:hint="eastAsia" w:ascii="新宋体" w:hAnsi="新宋体" w:eastAsia="新宋体" w:cs="新宋体"/>
                <w:szCs w:val="21"/>
              </w:rPr>
              <w:t>  团体辅导器材：包括环境适应篇、沟通交往篇、竞争合作篇、创新实践篇、自我意识篇、学习管理篇、意志责任篇、心灵成长篇等共8大主题60多种游戏，有效帮助开展各种形式的心理训练活动</w:t>
            </w:r>
            <w:r>
              <w:rPr>
                <w:rFonts w:hint="eastAsia" w:ascii="新宋体" w:hAnsi="新宋体" w:eastAsia="新宋体" w:cs="新宋体"/>
                <w:szCs w:val="21"/>
              </w:rPr>
              <w:br w:type="textWrapping"/>
            </w:r>
            <w:r>
              <w:rPr>
                <w:rFonts w:hint="eastAsia" w:ascii="新宋体" w:hAnsi="新宋体" w:eastAsia="新宋体" w:cs="新宋体"/>
                <w:szCs w:val="21"/>
              </w:rPr>
              <w:t>  团体活动训练系统中包括各种与活动内容相匹配的活动辅助器材</w:t>
            </w:r>
            <w:r>
              <w:rPr>
                <w:rFonts w:hint="eastAsia" w:ascii="新宋体" w:hAnsi="新宋体" w:eastAsia="新宋体" w:cs="新宋体"/>
                <w:szCs w:val="21"/>
              </w:rPr>
              <w:br w:type="textWrapping"/>
            </w:r>
            <w:r>
              <w:rPr>
                <w:rFonts w:hint="eastAsia" w:ascii="新宋体" w:hAnsi="新宋体" w:eastAsia="新宋体" w:cs="新宋体"/>
                <w:szCs w:val="21"/>
              </w:rPr>
              <w:t>  </w:t>
            </w:r>
            <w:r>
              <w:rPr>
                <w:rFonts w:hint="eastAsia" w:ascii="新宋体" w:hAnsi="新宋体" w:eastAsia="新宋体" w:cs="新宋体"/>
                <w:szCs w:val="21"/>
              </w:rPr>
              <w:br w:type="textWrapping"/>
            </w:r>
            <w:r>
              <w:rPr>
                <w:rFonts w:hint="eastAsia" w:ascii="新宋体" w:hAnsi="新宋体" w:eastAsia="新宋体" w:cs="新宋体"/>
                <w:szCs w:val="21"/>
              </w:rPr>
              <w:t>  主要包括：</w:t>
            </w:r>
            <w:r>
              <w:rPr>
                <w:rFonts w:hint="eastAsia" w:ascii="新宋体" w:hAnsi="新宋体" w:eastAsia="新宋体" w:cs="新宋体"/>
                <w:szCs w:val="21"/>
              </w:rPr>
              <w:br w:type="textWrapping"/>
            </w:r>
            <w:r>
              <w:rPr>
                <w:rFonts w:hint="eastAsia" w:ascii="新宋体" w:hAnsi="新宋体" w:eastAsia="新宋体" w:cs="新宋体"/>
                <w:szCs w:val="21"/>
              </w:rPr>
              <w:t>  1、教学录像：团体活动视频剪辑 1套，以光盘形式发放，以便老师能迅速掌握开展中队员团体训练；</w:t>
            </w:r>
            <w:r>
              <w:rPr>
                <w:rFonts w:hint="eastAsia" w:ascii="新宋体" w:hAnsi="新宋体" w:eastAsia="新宋体" w:cs="新宋体"/>
                <w:szCs w:val="21"/>
              </w:rPr>
              <w:br w:type="textWrapping"/>
            </w:r>
            <w:r>
              <w:rPr>
                <w:rFonts w:hint="eastAsia" w:ascii="新宋体" w:hAnsi="新宋体" w:eastAsia="新宋体" w:cs="新宋体"/>
                <w:szCs w:val="21"/>
              </w:rPr>
              <w:t>  2、活动器材：便于携带的精致工具箱（尺寸：46*31*24cm）四个;各种活动必备器材内置于活动包中。</w:t>
            </w:r>
            <w:r>
              <w:rPr>
                <w:rFonts w:hint="eastAsia" w:ascii="新宋体" w:hAnsi="新宋体" w:eastAsia="新宋体" w:cs="新宋体"/>
                <w:szCs w:val="21"/>
              </w:rPr>
              <w:br w:type="textWrapping"/>
            </w:r>
            <w:r>
              <w:rPr>
                <w:rFonts w:hint="eastAsia" w:ascii="新宋体" w:hAnsi="新宋体" w:eastAsia="新宋体" w:cs="新宋体"/>
                <w:szCs w:val="21"/>
              </w:rPr>
              <w:t>  3、活动游戏配置细节：每个游戏所需道具器材均独立包装，贴标明示，方便了心理老师与学生更好更迅速进入活动状态</w:t>
            </w:r>
            <w:r>
              <w:rPr>
                <w:rFonts w:hint="eastAsia" w:ascii="新宋体" w:hAnsi="新宋体" w:eastAsia="新宋体" w:cs="新宋体"/>
                <w:szCs w:val="21"/>
              </w:rPr>
              <w:br w:type="textWrapping"/>
            </w:r>
            <w:r>
              <w:rPr>
                <w:rFonts w:hint="eastAsia" w:ascii="新宋体" w:hAnsi="新宋体" w:eastAsia="新宋体" w:cs="新宋体"/>
                <w:szCs w:val="21"/>
              </w:rPr>
              <w:t>  4、团体活动档案管理软件 1套，以光盘形式供货</w:t>
            </w:r>
            <w:r>
              <w:rPr>
                <w:rFonts w:hint="eastAsia" w:ascii="新宋体" w:hAnsi="新宋体" w:eastAsia="新宋体" w:cs="新宋体"/>
                <w:szCs w:val="21"/>
              </w:rPr>
              <w:br w:type="textWrapping"/>
            </w:r>
            <w:r>
              <w:rPr>
                <w:rFonts w:hint="eastAsia" w:ascii="新宋体" w:hAnsi="新宋体" w:eastAsia="新宋体" w:cs="新宋体"/>
                <w:szCs w:val="21"/>
              </w:rPr>
              <w:br w:type="textWrapping"/>
            </w:r>
            <w:r>
              <w:rPr>
                <w:rFonts w:hint="eastAsia" w:ascii="新宋体" w:hAnsi="新宋体" w:eastAsia="新宋体" w:cs="新宋体"/>
                <w:szCs w:val="21"/>
              </w:rPr>
              <w:t>产品清单：</w:t>
            </w:r>
            <w:r>
              <w:rPr>
                <w:rFonts w:hint="eastAsia" w:ascii="新宋体" w:hAnsi="新宋体" w:eastAsia="新宋体" w:cs="新宋体"/>
                <w:szCs w:val="21"/>
              </w:rPr>
              <w:br w:type="textWrapping"/>
            </w:r>
            <w:r>
              <w:rPr>
                <w:rFonts w:hint="eastAsia" w:ascii="新宋体" w:hAnsi="新宋体" w:eastAsia="新宋体" w:cs="新宋体"/>
                <w:szCs w:val="21"/>
              </w:rPr>
              <w:t>  1、团体活动A包1个           2、团体活动B包 1个</w:t>
            </w:r>
            <w:r>
              <w:rPr>
                <w:rFonts w:hint="eastAsia" w:ascii="新宋体" w:hAnsi="新宋体" w:eastAsia="新宋体" w:cs="新宋体"/>
                <w:szCs w:val="21"/>
              </w:rPr>
              <w:br w:type="textWrapping"/>
            </w:r>
            <w:r>
              <w:rPr>
                <w:rFonts w:hint="eastAsia" w:ascii="新宋体" w:hAnsi="新宋体" w:eastAsia="新宋体" w:cs="新宋体"/>
                <w:szCs w:val="21"/>
              </w:rPr>
              <w:t>  3、团体活动C包1个           4、团体活动D包 1个</w:t>
            </w:r>
            <w:r>
              <w:rPr>
                <w:rFonts w:hint="eastAsia" w:ascii="新宋体" w:hAnsi="新宋体" w:eastAsia="新宋体" w:cs="新宋体"/>
                <w:szCs w:val="21"/>
              </w:rPr>
              <w:br w:type="textWrapping"/>
            </w:r>
            <w:r>
              <w:rPr>
                <w:rFonts w:hint="eastAsia" w:ascii="新宋体" w:hAnsi="新宋体" w:eastAsia="新宋体" w:cs="新宋体"/>
                <w:szCs w:val="21"/>
              </w:rPr>
              <w:t>  5、团体活动视频剪辑光盘1张  6、团体活动管理软件1张</w:t>
            </w:r>
            <w:r>
              <w:rPr>
                <w:rFonts w:hint="eastAsia" w:ascii="新宋体" w:hAnsi="新宋体" w:eastAsia="新宋体" w:cs="新宋体"/>
                <w:szCs w:val="21"/>
              </w:rPr>
              <w:br w:type="textWrapping"/>
            </w:r>
            <w:r>
              <w:rPr>
                <w:rFonts w:hint="eastAsia" w:ascii="新宋体" w:hAnsi="新宋体" w:eastAsia="新宋体" w:cs="新宋体"/>
                <w:szCs w:val="21"/>
              </w:rPr>
              <w:br w:type="textWrapping"/>
            </w:r>
            <w:r>
              <w:rPr>
                <w:rFonts w:hint="eastAsia" w:ascii="新宋体" w:hAnsi="新宋体" w:eastAsia="新宋体" w:cs="新宋体"/>
                <w:szCs w:val="21"/>
              </w:rPr>
              <w:t>★游戏卡：每个游戏都配有一个游戏说明卡，用于指导活动操作尺寸：140*105mm</w:t>
            </w:r>
            <w:r>
              <w:rPr>
                <w:rFonts w:hint="eastAsia" w:ascii="新宋体" w:hAnsi="新宋体" w:eastAsia="新宋体" w:cs="新宋体"/>
                <w:szCs w:val="21"/>
              </w:rPr>
              <w:br w:type="textWrapping"/>
            </w:r>
            <w:r>
              <w:rPr>
                <w:rFonts w:hint="eastAsia" w:ascii="新宋体" w:hAnsi="新宋体" w:eastAsia="新宋体" w:cs="新宋体"/>
                <w:szCs w:val="21"/>
              </w:rPr>
              <w:t>★每个箱内每个游戏均配有：游戏指导卡片1套</w:t>
            </w:r>
            <w:r>
              <w:rPr>
                <w:rFonts w:hint="eastAsia" w:ascii="新宋体" w:hAnsi="新宋体" w:eastAsia="新宋体" w:cs="新宋体"/>
                <w:szCs w:val="21"/>
              </w:rPr>
              <w:br w:type="textWrapping"/>
            </w:r>
            <w:r>
              <w:rPr>
                <w:rFonts w:hint="eastAsia" w:ascii="新宋体" w:hAnsi="新宋体" w:eastAsia="新宋体" w:cs="新宋体"/>
                <w:szCs w:val="21"/>
              </w:rPr>
              <w:t>★团体活动包A包可做活动游戏有：四两拨千金；千方百计；与你同老；走出围城；对不起，我错了；你站对了吗；夺宝奇兵；叫卖；Follw me；我第一；不抛弃，不放弃；漂流瓶；对号入座；礼物；男女搭配，干活不累；素描。</w:t>
            </w:r>
            <w:r>
              <w:rPr>
                <w:rFonts w:hint="eastAsia" w:ascii="新宋体" w:hAnsi="新宋体" w:eastAsia="新宋体" w:cs="新宋体"/>
                <w:szCs w:val="21"/>
              </w:rPr>
              <w:br w:type="textWrapping"/>
            </w:r>
            <w:r>
              <w:rPr>
                <w:rFonts w:hint="eastAsia" w:ascii="新宋体" w:hAnsi="新宋体" w:eastAsia="新宋体" w:cs="新宋体"/>
                <w:szCs w:val="21"/>
              </w:rPr>
              <w:t>★团体活动包B包可做活动游戏有:生命守护；心有灵犀；代价；营销术；铁锁；挚爱；鲜花绿叶；展现自我，走过来；连连看；养育之恩；彩球接力；广而告之；别人眼中的我；时光倒流；放飞心灵；分秒必争；天籁之音；冥想；魅力T台；绝境求生；你的拼图你做主</w:t>
            </w:r>
            <w:r>
              <w:rPr>
                <w:rFonts w:hint="eastAsia" w:ascii="新宋体" w:hAnsi="新宋体" w:eastAsia="新宋体" w:cs="新宋体"/>
                <w:szCs w:val="21"/>
              </w:rPr>
              <w:br w:type="textWrapping"/>
            </w:r>
            <w:r>
              <w:rPr>
                <w:rFonts w:hint="eastAsia" w:ascii="新宋体" w:hAnsi="新宋体" w:eastAsia="新宋体" w:cs="新宋体"/>
                <w:szCs w:val="21"/>
              </w:rPr>
              <w:t>★团体活动包C包可做活动游戏有：肢体语言；头脑风暴；舞龙；清理“主次”；我相信你们；领导范儿；无极限；双赢；分享快乐；发射甜筒；生存法则；有效沟通；黄金分割；灯塔；茫茫人海。</w:t>
            </w:r>
            <w:r>
              <w:rPr>
                <w:rFonts w:hint="eastAsia" w:ascii="新宋体" w:hAnsi="新宋体" w:eastAsia="新宋体" w:cs="新宋体"/>
                <w:szCs w:val="21"/>
              </w:rPr>
              <w:br w:type="textWrapping"/>
            </w:r>
            <w:r>
              <w:rPr>
                <w:rFonts w:hint="eastAsia" w:ascii="新宋体" w:hAnsi="新宋体" w:eastAsia="新宋体" w:cs="新宋体"/>
                <w:szCs w:val="21"/>
              </w:rPr>
              <w:t>★团体活动室外D包可做活动游戏有：找茬；松鼠“搬家”；诺亚方舟；蹚水；千里走单骑；甜甜“圈”；合力；绳之以法；与爱同行；凤凰传奇；蛇鼠一窝；小鸟“喂食”；齐眉竿；能量传输</w:t>
            </w:r>
          </w:p>
        </w:tc>
        <w:tc>
          <w:tcPr>
            <w:tcW w:w="567" w:type="dxa"/>
            <w:vAlign w:val="center"/>
          </w:tcPr>
          <w:p>
            <w:pPr>
              <w:rPr>
                <w:rFonts w:hint="eastAsia" w:ascii="新宋体" w:hAnsi="新宋体" w:eastAsia="新宋体" w:cs="新宋体"/>
                <w:szCs w:val="21"/>
              </w:rPr>
            </w:pPr>
            <w:r>
              <w:rPr>
                <w:rFonts w:hint="eastAsia" w:ascii="新宋体" w:hAnsi="新宋体" w:eastAsia="新宋体" w:cs="新宋体"/>
                <w:szCs w:val="21"/>
              </w:rPr>
              <w:t>1</w:t>
            </w:r>
          </w:p>
        </w:tc>
        <w:tc>
          <w:tcPr>
            <w:tcW w:w="1984" w:type="dxa"/>
            <w:vAlign w:val="center"/>
          </w:tcPr>
          <w:p>
            <w:pPr>
              <w:jc w:val="center"/>
              <w:rPr>
                <w:rFonts w:hint="eastAsia" w:ascii="新宋体" w:hAnsi="新宋体" w:eastAsia="新宋体" w:cs="新宋体"/>
                <w:szCs w:val="21"/>
              </w:rPr>
            </w:pPr>
            <w:r>
              <w:rPr>
                <w:rFonts w:hint="eastAsia" w:ascii="新宋体" w:hAnsi="新宋体" w:eastAsia="新宋体" w:cs="新宋体"/>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autoSpaceDE w:val="0"/>
              <w:autoSpaceDN w:val="0"/>
              <w:adjustRightInd w:val="0"/>
              <w:jc w:val="center"/>
              <w:rPr>
                <w:rFonts w:hint="eastAsia" w:ascii="新宋体" w:hAnsi="新宋体" w:eastAsia="新宋体" w:cs="新宋体"/>
                <w:color w:val="000000"/>
                <w:szCs w:val="21"/>
              </w:rPr>
            </w:pPr>
            <w:r>
              <w:rPr>
                <w:rFonts w:hint="eastAsia" w:ascii="新宋体" w:hAnsi="新宋体" w:eastAsia="新宋体" w:cs="新宋体"/>
                <w:b/>
                <w:color w:val="000000"/>
                <w:kern w:val="0"/>
                <w:szCs w:val="21"/>
              </w:rPr>
              <w:t>六、语言评估训练类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序号</w:t>
            </w:r>
          </w:p>
        </w:tc>
        <w:tc>
          <w:tcPr>
            <w:tcW w:w="495"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产品名称</w:t>
            </w:r>
          </w:p>
        </w:tc>
        <w:tc>
          <w:tcPr>
            <w:tcW w:w="767" w:type="dxa"/>
            <w:vAlign w:val="center"/>
          </w:tcPr>
          <w:p>
            <w:pPr>
              <w:jc w:val="center"/>
              <w:rPr>
                <w:rFonts w:hint="eastAsia" w:ascii="新宋体" w:hAnsi="新宋体" w:eastAsia="新宋体" w:cs="新宋体"/>
                <w:kern w:val="0"/>
                <w:szCs w:val="21"/>
              </w:rPr>
            </w:pPr>
            <w:r>
              <w:rPr>
                <w:rFonts w:hint="eastAsia" w:ascii="新宋体" w:hAnsi="新宋体" w:eastAsia="新宋体" w:cs="新宋体"/>
                <w:color w:val="000000"/>
                <w:szCs w:val="21"/>
              </w:rPr>
              <w:t>设备名称</w:t>
            </w:r>
          </w:p>
        </w:tc>
        <w:tc>
          <w:tcPr>
            <w:tcW w:w="4962" w:type="dxa"/>
            <w:vAlign w:val="center"/>
          </w:tcPr>
          <w:p>
            <w:pPr>
              <w:jc w:val="center"/>
              <w:rPr>
                <w:rFonts w:hint="eastAsia" w:ascii="新宋体" w:hAnsi="新宋体" w:eastAsia="新宋体" w:cs="新宋体"/>
                <w:kern w:val="0"/>
                <w:szCs w:val="21"/>
              </w:rPr>
            </w:pPr>
            <w:r>
              <w:rPr>
                <w:rFonts w:hint="eastAsia" w:ascii="新宋体" w:hAnsi="新宋体" w:eastAsia="新宋体" w:cs="新宋体"/>
                <w:color w:val="000000"/>
                <w:szCs w:val="21"/>
              </w:rPr>
              <w:t>技术参数</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数量</w:t>
            </w:r>
          </w:p>
        </w:tc>
        <w:tc>
          <w:tcPr>
            <w:tcW w:w="1984" w:type="dxa"/>
            <w:vAlign w:val="center"/>
          </w:tcPr>
          <w:p>
            <w:pPr>
              <w:jc w:val="center"/>
              <w:rPr>
                <w:rFonts w:hint="eastAsia" w:ascii="新宋体" w:hAnsi="新宋体" w:eastAsia="新宋体" w:cs="新宋体"/>
                <w:kern w:val="0"/>
                <w:szCs w:val="21"/>
              </w:rPr>
            </w:pPr>
            <w:r>
              <w:rPr>
                <w:rFonts w:hint="eastAsia" w:ascii="新宋体" w:hAnsi="新宋体" w:eastAsia="新宋体" w:cs="新宋体"/>
                <w:color w:val="00000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31</w:t>
            </w:r>
          </w:p>
        </w:tc>
        <w:tc>
          <w:tcPr>
            <w:tcW w:w="495" w:type="dxa"/>
            <w:vAlign w:val="center"/>
          </w:tcPr>
          <w:p>
            <w:pPr>
              <w:autoSpaceDE w:val="0"/>
              <w:autoSpaceDN w:val="0"/>
              <w:adjustRightInd w:val="0"/>
              <w:rPr>
                <w:rFonts w:hint="eastAsia" w:ascii="新宋体" w:hAnsi="新宋体" w:eastAsia="新宋体" w:cs="新宋体"/>
                <w:color w:val="000000"/>
                <w:szCs w:val="21"/>
              </w:rPr>
            </w:pPr>
            <w:r>
              <w:rPr>
                <w:rFonts w:hint="eastAsia" w:ascii="新宋体" w:hAnsi="新宋体" w:eastAsia="新宋体" w:cs="新宋体"/>
                <w:color w:val="000000"/>
                <w:szCs w:val="21"/>
              </w:rPr>
              <w:t>语言评估训练系统</w:t>
            </w:r>
          </w:p>
        </w:tc>
        <w:tc>
          <w:tcPr>
            <w:tcW w:w="767" w:type="dxa"/>
            <w:vAlign w:val="center"/>
          </w:tcPr>
          <w:p>
            <w:pPr>
              <w:widowControl/>
              <w:jc w:val="center"/>
              <w:rPr>
                <w:rFonts w:hint="eastAsia" w:ascii="新宋体" w:hAnsi="新宋体" w:eastAsia="新宋体" w:cs="新宋体"/>
                <w:kern w:val="0"/>
                <w:szCs w:val="21"/>
              </w:rPr>
            </w:pPr>
            <w:r>
              <w:rPr>
                <w:rFonts w:hint="eastAsia" w:ascii="新宋体" w:hAnsi="新宋体" w:eastAsia="新宋体" w:cs="新宋体"/>
                <w:kern w:val="0"/>
                <w:szCs w:val="21"/>
              </w:rPr>
              <w:t>语言能力评估训练卡片</w:t>
            </w:r>
          </w:p>
          <w:p>
            <w:pPr>
              <w:widowControl/>
              <w:snapToGrid w:val="0"/>
              <w:jc w:val="center"/>
              <w:rPr>
                <w:rFonts w:hint="eastAsia" w:ascii="新宋体" w:hAnsi="新宋体" w:eastAsia="新宋体" w:cs="新宋体"/>
                <w:kern w:val="0"/>
                <w:szCs w:val="21"/>
              </w:rPr>
            </w:pPr>
          </w:p>
          <w:p>
            <w:pPr>
              <w:widowControl/>
              <w:snapToGrid w:val="0"/>
              <w:jc w:val="center"/>
              <w:rPr>
                <w:rFonts w:hint="eastAsia" w:ascii="新宋体" w:hAnsi="新宋体" w:eastAsia="新宋体" w:cs="新宋体"/>
                <w:kern w:val="0"/>
                <w:szCs w:val="21"/>
              </w:rPr>
            </w:pPr>
          </w:p>
        </w:tc>
        <w:tc>
          <w:tcPr>
            <w:tcW w:w="4962" w:type="dxa"/>
            <w:vAlign w:val="center"/>
          </w:tcPr>
          <w:p>
            <w:pPr>
              <w:widowControl/>
              <w:ind w:firstLine="420" w:firstLineChars="200"/>
              <w:jc w:val="left"/>
              <w:rPr>
                <w:rFonts w:hint="eastAsia" w:ascii="新宋体" w:hAnsi="新宋体" w:eastAsia="新宋体" w:cs="新宋体"/>
                <w:kern w:val="0"/>
                <w:szCs w:val="21"/>
              </w:rPr>
            </w:pPr>
            <w:r>
              <w:rPr>
                <w:rFonts w:hint="eastAsia" w:ascii="新宋体" w:hAnsi="新宋体" w:eastAsia="新宋体" w:cs="新宋体"/>
                <w:kern w:val="0"/>
                <w:szCs w:val="21"/>
              </w:rPr>
              <w:t>本套用具主要包括语言理解能力评估（词语、词组、句子、短文）训练卡片册和记录词表、词语的简单训练卡片册、语法的简单训练卡片册、句子的简单训练卡片册、会话的简单训练卡片册、语言理解能力训练记录词表、会话的简单训练卡片册和使用手册、奖励贴纸、卡通棋子、电子骰子、使用说明和配套光盘等。</w:t>
            </w:r>
          </w:p>
        </w:tc>
        <w:tc>
          <w:tcPr>
            <w:tcW w:w="567"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rPr>
              <w:t>1</w:t>
            </w:r>
          </w:p>
        </w:tc>
        <w:tc>
          <w:tcPr>
            <w:tcW w:w="1984" w:type="dxa"/>
            <w:vAlign w:val="center"/>
          </w:tcPr>
          <w:p>
            <w:pPr>
              <w:widowControl/>
              <w:snapToGrid w:val="0"/>
              <w:jc w:val="center"/>
              <w:rPr>
                <w:rFonts w:hint="eastAsia" w:ascii="新宋体" w:hAnsi="新宋体" w:eastAsia="新宋体" w:cs="新宋体"/>
                <w:kern w:val="0"/>
                <w:szCs w:val="21"/>
              </w:rPr>
            </w:pPr>
            <w:r>
              <w:rPr>
                <w:rFonts w:hint="eastAsia" w:ascii="新宋体" w:hAnsi="新宋体" w:eastAsia="新宋体" w:cs="新宋体"/>
                <w:kern w:val="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jc w:val="center"/>
              <w:rPr>
                <w:rFonts w:hint="eastAsia" w:ascii="新宋体" w:hAnsi="新宋体" w:eastAsia="新宋体" w:cs="新宋体"/>
                <w:color w:val="000000"/>
                <w:szCs w:val="21"/>
              </w:rPr>
            </w:pPr>
            <w:r>
              <w:rPr>
                <w:rFonts w:hint="eastAsia" w:ascii="新宋体" w:hAnsi="新宋体" w:eastAsia="新宋体" w:cs="新宋体"/>
                <w:b/>
                <w:color w:val="000000"/>
                <w:szCs w:val="21"/>
              </w:rPr>
              <w:t>七、送教上门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32</w:t>
            </w:r>
          </w:p>
        </w:tc>
        <w:tc>
          <w:tcPr>
            <w:tcW w:w="495" w:type="dxa"/>
            <w:vMerge w:val="restart"/>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特殊教学资源管理系统</w:t>
            </w:r>
          </w:p>
        </w:tc>
        <w:tc>
          <w:tcPr>
            <w:tcW w:w="767" w:type="dxa"/>
            <w:vAlign w:val="center"/>
          </w:tcPr>
          <w:p>
            <w:pPr>
              <w:widowControl/>
              <w:jc w:val="center"/>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视觉感知教具</w:t>
            </w:r>
          </w:p>
        </w:tc>
        <w:tc>
          <w:tcPr>
            <w:tcW w:w="4962"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游戏组件：包括24张塑料任务卡、40块木制几何块，一面安全镜，配有分格的木制收纳盒。桦木夹板/PS板教育目标：提高空间感知能力；发展对形状和颜色的视觉感知能力。木盒尺寸：44×20×8cm。</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 w:val="18"/>
                <w:szCs w:val="18"/>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33</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感知及逻辑思维教具</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卡片尺寸：7×7cm</w:t>
            </w:r>
          </w:p>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游戏组件：8张主题卡片；64张小卡片；（8张/主题），小卡片有自检功能；1个木制收纳盒；桦木夹板/PS板教育目标：提升视觉感知能力训练；发展逻辑思维能力；理解和讨论因果关系；锻炼语句表达的连贯能力。游戏板尺寸：28×14cm。木盒尺寸：34×20×6cm</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 w:val="18"/>
                <w:szCs w:val="18"/>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34</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数字分解（1-10）学习板</w:t>
            </w:r>
          </w:p>
        </w:tc>
        <w:tc>
          <w:tcPr>
            <w:tcW w:w="4962"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鼓励幼儿学习1-10数字分解。产品配套一份数字卡片，教师可以很容易翻转卡片和启动游戏。这款产品有利于幼儿的加法学习、数量认知和提升逻辑思考的能力。</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 w:val="18"/>
                <w:szCs w:val="18"/>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35</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配对教具</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游戏组件：</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-6 张题板</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-48张透明卡片</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-1 个木制收纳盒桦木夹板/PS板教育目标：</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-训练视觉感知能力</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-提高图像合成能力</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-发展语言表达能力</w:t>
            </w:r>
          </w:p>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木盒尺寸：34 x 20 x 6cm</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 w:val="18"/>
                <w:szCs w:val="18"/>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36</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形状、颜色与大小套塔游戏</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加深幼儿对颜色形状的认知，学会筛选、分类及大小排序，促进手眼协调能力的发展。</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 w:val="18"/>
                <w:szCs w:val="18"/>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37</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触觉、视觉双感官混合配对游戏</w:t>
            </w:r>
          </w:p>
        </w:tc>
        <w:tc>
          <w:tcPr>
            <w:tcW w:w="4962"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可实现纯触感配对、纯视觉配对、视觉触感交叉配对等。</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38</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形状配对教具</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游戏组件：</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-含盖木盒1个</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-含3个难度等级的任务卡片8块</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-小卡片32块</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-说明书1本桦木夹板/PS板教育目标：</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-视觉感知能力培养</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-空间知识了解</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-提高抽象思维能力。</w:t>
            </w:r>
          </w:p>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木盒尺寸：34 x 20 x 6 cm.</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39</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widowControl/>
              <w:textAlignment w:val="center"/>
              <w:rPr>
                <w:rFonts w:hint="eastAsia" w:ascii="新宋体" w:hAnsi="新宋体" w:eastAsia="新宋体" w:cs="新宋体"/>
                <w:color w:val="000000"/>
                <w:szCs w:val="21"/>
              </w:rPr>
            </w:pPr>
            <w:r>
              <w:rPr>
                <w:rFonts w:hint="eastAsia" w:ascii="新宋体" w:hAnsi="新宋体" w:eastAsia="新宋体" w:cs="新宋体"/>
                <w:color w:val="000000"/>
                <w:szCs w:val="21"/>
              </w:rPr>
              <w:t>送教上门辅助包</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A型包：1个</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 xml:space="preserve">      规格：&gt;=68cm(高)×27.5cm(厚)×44cm(宽)，重量约为3.45kg</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 xml:space="preserve">      材质：纯PC(环保材质)</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 xml:space="preserve">      配件：单拉杆，HINOMOTO万向轮，TSA密码锁    </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40</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专注及记忆力教具</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游戏组件：48张塑料小卡片（刚好24对），1个木制收纳盒中。桦木夹板/PS板教育目标：提高视觉感知能力，锻炼语言表达能力；培养专注力和记忆力。木盒尺寸：</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34×20×6cm</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41</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交通知识游戏</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主要材质：木材   标志牌尺寸：2.4*2.4*7.7cm     重量0.5kg    30个交通标志牌，60种标志图，让小朋友在游戏中学习交通规则。</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42</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颜色认知卡片</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产品尺寸：140*140mm；页数：24张/盒；重量：0.6公斤/套；作用：增强双眼注视能力，促进视觉神经系统发育，多彩的图案，抽象的图形，提高视敏度，培养立体知觉，4盒/套</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43</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仿真水果</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苹果、西瓜等18件环保仿真水果；</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44</w:t>
            </w:r>
          </w:p>
        </w:tc>
        <w:tc>
          <w:tcPr>
            <w:tcW w:w="495" w:type="dxa"/>
            <w:vMerge w:val="continue"/>
            <w:vAlign w:val="center"/>
          </w:tcPr>
          <w:p>
            <w:pPr>
              <w:rPr>
                <w:rFonts w:hint="eastAsia" w:ascii="新宋体" w:hAnsi="新宋体" w:eastAsia="新宋体" w:cs="新宋体"/>
                <w:color w:val="000000"/>
                <w:szCs w:val="21"/>
              </w:rPr>
            </w:pPr>
          </w:p>
        </w:tc>
        <w:tc>
          <w:tcPr>
            <w:tcW w:w="7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送教上门辅助包</w:t>
            </w:r>
          </w:p>
        </w:tc>
        <w:tc>
          <w:tcPr>
            <w:tcW w:w="4962"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A型包：1个</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 xml:space="preserve">      规格：&gt;=68cm(高)×27.5cm(厚)×44cm(宽)，重量约为3.45kg</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 xml:space="preserve">      材质：纯PC(环保材质)</w:t>
            </w:r>
          </w:p>
          <w:p>
            <w:pPr>
              <w:rPr>
                <w:rFonts w:hint="eastAsia" w:ascii="新宋体" w:hAnsi="新宋体" w:eastAsia="新宋体" w:cs="新宋体"/>
                <w:color w:val="000000"/>
                <w:szCs w:val="21"/>
              </w:rPr>
            </w:pPr>
            <w:r>
              <w:rPr>
                <w:rFonts w:hint="eastAsia" w:ascii="新宋体" w:hAnsi="新宋体" w:eastAsia="新宋体" w:cs="新宋体"/>
                <w:color w:val="000000"/>
                <w:szCs w:val="21"/>
              </w:rPr>
              <w:t xml:space="preserve">      配件：单拉杆，HINOMOTO万向轮，TSA密码锁    </w:t>
            </w:r>
          </w:p>
        </w:tc>
        <w:tc>
          <w:tcPr>
            <w:tcW w:w="567"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1</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jc w:val="center"/>
              <w:rPr>
                <w:rFonts w:hint="eastAsia" w:ascii="新宋体" w:hAnsi="新宋体" w:eastAsia="新宋体" w:cs="新宋体"/>
                <w:color w:val="000000"/>
                <w:szCs w:val="21"/>
              </w:rPr>
            </w:pPr>
            <w:r>
              <w:rPr>
                <w:rFonts w:hint="eastAsia" w:ascii="新宋体" w:hAnsi="新宋体" w:eastAsia="新宋体" w:cs="新宋体"/>
                <w:b/>
                <w:color w:val="000000"/>
                <w:szCs w:val="21"/>
              </w:rPr>
              <w:t>八、环境创意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rPr>
                <w:rFonts w:hint="eastAsia" w:ascii="新宋体" w:hAnsi="新宋体" w:eastAsia="新宋体" w:cs="新宋体"/>
                <w:color w:val="000000"/>
                <w:szCs w:val="21"/>
              </w:rPr>
            </w:pPr>
            <w:r>
              <w:rPr>
                <w:rFonts w:hint="eastAsia" w:ascii="新宋体" w:hAnsi="新宋体" w:eastAsia="新宋体" w:cs="新宋体"/>
                <w:color w:val="000000"/>
                <w:szCs w:val="21"/>
              </w:rPr>
              <w:t>序号</w:t>
            </w:r>
          </w:p>
        </w:tc>
        <w:tc>
          <w:tcPr>
            <w:tcW w:w="495" w:type="dxa"/>
            <w:vAlign w:val="center"/>
          </w:tcPr>
          <w:p>
            <w:pPr>
              <w:jc w:val="center"/>
              <w:rPr>
                <w:rFonts w:hint="eastAsia" w:ascii="新宋体" w:hAnsi="新宋体" w:eastAsia="新宋体" w:cs="新宋体"/>
                <w:szCs w:val="21"/>
              </w:rPr>
            </w:pPr>
            <w:r>
              <w:rPr>
                <w:rFonts w:hint="eastAsia" w:ascii="新宋体" w:hAnsi="新宋体" w:eastAsia="新宋体" w:cs="新宋体"/>
                <w:color w:val="000000"/>
                <w:szCs w:val="21"/>
              </w:rPr>
              <w:t>产品名称</w:t>
            </w:r>
          </w:p>
        </w:tc>
        <w:tc>
          <w:tcPr>
            <w:tcW w:w="7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设备名称</w:t>
            </w:r>
          </w:p>
        </w:tc>
        <w:tc>
          <w:tcPr>
            <w:tcW w:w="4962"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技术参数</w:t>
            </w:r>
          </w:p>
        </w:tc>
        <w:tc>
          <w:tcPr>
            <w:tcW w:w="567"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数量</w:t>
            </w:r>
          </w:p>
        </w:tc>
        <w:tc>
          <w:tcPr>
            <w:tcW w:w="1984" w:type="dxa"/>
            <w:vAlign w:val="center"/>
          </w:tcPr>
          <w:p>
            <w:pPr>
              <w:jc w:val="center"/>
              <w:rPr>
                <w:rFonts w:hint="eastAsia" w:ascii="新宋体" w:hAnsi="新宋体" w:eastAsia="新宋体" w:cs="新宋体"/>
                <w:color w:val="000000"/>
                <w:szCs w:val="21"/>
              </w:rPr>
            </w:pPr>
            <w:r>
              <w:rPr>
                <w:rFonts w:hint="eastAsia" w:ascii="新宋体" w:hAnsi="新宋体" w:eastAsia="新宋体" w:cs="新宋体"/>
                <w:color w:val="00000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45</w:t>
            </w:r>
          </w:p>
        </w:tc>
        <w:tc>
          <w:tcPr>
            <w:tcW w:w="495" w:type="dxa"/>
            <w:vMerge w:val="restart"/>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工程设计</w:t>
            </w:r>
          </w:p>
        </w:tc>
        <w:tc>
          <w:tcPr>
            <w:tcW w:w="767"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安全训练防护地垫</w:t>
            </w:r>
          </w:p>
        </w:tc>
        <w:tc>
          <w:tcPr>
            <w:tcW w:w="4962"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规格：1000mm*1000mm*</w:t>
            </w:r>
            <w:r>
              <w:rPr>
                <w:rFonts w:hint="eastAsia" w:ascii="新宋体" w:hAnsi="新宋体" w:eastAsia="新宋体" w:cs="新宋体"/>
                <w:color w:val="000000" w:themeColor="text1"/>
                <w:szCs w:val="21"/>
              </w:rPr>
              <w:t>25</w:t>
            </w:r>
            <w:r>
              <w:rPr>
                <w:rFonts w:hint="eastAsia" w:ascii="新宋体" w:hAnsi="新宋体" w:eastAsia="新宋体" w:cs="新宋体"/>
                <w:color w:val="000000" w:themeColor="text1"/>
                <w:szCs w:val="21"/>
              </w:rPr>
              <w:t>mm，EVA材质。颜色：搭配</w:t>
            </w:r>
            <w:r>
              <w:rPr>
                <w:rFonts w:hint="eastAsia" w:ascii="新宋体" w:hAnsi="新宋体" w:eastAsia="新宋体" w:cs="新宋体"/>
                <w:color w:val="000000" w:themeColor="text1"/>
                <w:szCs w:val="21"/>
              </w:rPr>
              <w:br w:type="textWrapping"/>
            </w:r>
            <w:r>
              <w:rPr>
                <w:rFonts w:hint="eastAsia" w:ascii="新宋体" w:hAnsi="新宋体" w:eastAsia="新宋体" w:cs="新宋体"/>
                <w:color w:val="000000" w:themeColor="text1"/>
                <w:szCs w:val="21"/>
              </w:rPr>
              <w:t>特性：</w:t>
            </w:r>
            <w:r>
              <w:rPr>
                <w:rFonts w:hint="eastAsia" w:ascii="新宋体" w:hAnsi="新宋体" w:eastAsia="新宋体" w:cs="新宋体"/>
                <w:color w:val="000000" w:themeColor="text1"/>
                <w:szCs w:val="21"/>
              </w:rPr>
              <w:br w:type="textWrapping"/>
            </w:r>
            <w:r>
              <w:rPr>
                <w:rFonts w:hint="eastAsia" w:ascii="新宋体" w:hAnsi="新宋体" w:eastAsia="新宋体" w:cs="新宋体"/>
                <w:color w:val="000000" w:themeColor="text1"/>
                <w:szCs w:val="21"/>
              </w:rPr>
              <w:t xml:space="preserve">  1、高弹性，高防护性能，带斜纹，强度更高。                      </w:t>
            </w:r>
            <w:r>
              <w:rPr>
                <w:rFonts w:hint="eastAsia" w:ascii="新宋体" w:hAnsi="新宋体" w:eastAsia="新宋体" w:cs="新宋体"/>
                <w:color w:val="000000" w:themeColor="text1"/>
                <w:szCs w:val="21"/>
              </w:rPr>
              <w:br w:type="textWrapping"/>
            </w:r>
            <w:r>
              <w:rPr>
                <w:rFonts w:hint="eastAsia" w:ascii="新宋体" w:hAnsi="新宋体" w:eastAsia="新宋体" w:cs="新宋体"/>
                <w:color w:val="000000" w:themeColor="text1"/>
                <w:szCs w:val="21"/>
              </w:rPr>
              <w:t xml:space="preserve">  2、绝缘性能好，具有抗静电功能。                               3、柔弹性能好、防滑、耐磨、耐气候变化。</w:t>
            </w:r>
            <w:r>
              <w:rPr>
                <w:rFonts w:hint="eastAsia" w:ascii="新宋体" w:hAnsi="新宋体" w:eastAsia="新宋体" w:cs="新宋体"/>
                <w:color w:val="000000" w:themeColor="text1"/>
                <w:szCs w:val="21"/>
              </w:rPr>
              <w:br w:type="textWrapping"/>
            </w:r>
            <w:r>
              <w:rPr>
                <w:rFonts w:hint="eastAsia" w:ascii="新宋体" w:hAnsi="新宋体" w:eastAsia="新宋体" w:cs="新宋体"/>
                <w:color w:val="000000" w:themeColor="text1"/>
                <w:szCs w:val="21"/>
              </w:rPr>
              <w:t xml:space="preserve">  4、安全防护性能绝佳、跌倒时可将伤害减少到最低程度。</w:t>
            </w:r>
            <w:r>
              <w:rPr>
                <w:rFonts w:hint="eastAsia" w:ascii="新宋体" w:hAnsi="新宋体" w:eastAsia="新宋体" w:cs="新宋体"/>
                <w:color w:val="000000" w:themeColor="text1"/>
                <w:szCs w:val="21"/>
              </w:rPr>
              <w:br w:type="textWrapping"/>
            </w:r>
            <w:r>
              <w:rPr>
                <w:rFonts w:hint="eastAsia" w:ascii="新宋体" w:hAnsi="新宋体" w:eastAsia="新宋体" w:cs="新宋体"/>
                <w:color w:val="000000" w:themeColor="text1"/>
                <w:szCs w:val="21"/>
              </w:rPr>
              <w:t xml:space="preserve">  5、无毒性，符合环保、卫生要求。</w:t>
            </w:r>
          </w:p>
        </w:tc>
        <w:tc>
          <w:tcPr>
            <w:tcW w:w="567"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64</w:t>
            </w:r>
          </w:p>
        </w:tc>
        <w:tc>
          <w:tcPr>
            <w:tcW w:w="1984"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widowControl/>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46</w:t>
            </w:r>
          </w:p>
        </w:tc>
        <w:tc>
          <w:tcPr>
            <w:tcW w:w="495" w:type="dxa"/>
            <w:vMerge w:val="continue"/>
            <w:vAlign w:val="center"/>
          </w:tcPr>
          <w:p>
            <w:pPr>
              <w:jc w:val="center"/>
              <w:rPr>
                <w:rFonts w:hint="eastAsia" w:ascii="新宋体" w:hAnsi="新宋体" w:eastAsia="新宋体" w:cs="新宋体"/>
                <w:color w:val="000000" w:themeColor="text1"/>
                <w:szCs w:val="21"/>
              </w:rPr>
            </w:pPr>
          </w:p>
        </w:tc>
        <w:tc>
          <w:tcPr>
            <w:tcW w:w="767"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安全训练防护墙</w:t>
            </w:r>
          </w:p>
        </w:tc>
        <w:tc>
          <w:tcPr>
            <w:tcW w:w="4962" w:type="dxa"/>
            <w:vAlign w:val="center"/>
          </w:tcPr>
          <w:p>
            <w:pPr>
              <w:rPr>
                <w:rFonts w:hint="eastAsia" w:ascii="新宋体" w:hAnsi="新宋体" w:eastAsia="新宋体" w:cs="新宋体"/>
                <w:color w:val="000000" w:themeColor="text1"/>
                <w:sz w:val="24"/>
                <w:szCs w:val="24"/>
              </w:rPr>
            </w:pPr>
            <w:r>
              <w:rPr>
                <w:rFonts w:hint="eastAsia" w:ascii="新宋体" w:hAnsi="新宋体" w:eastAsia="新宋体" w:cs="新宋体"/>
                <w:color w:val="000000" w:themeColor="text1"/>
                <w:sz w:val="24"/>
                <w:szCs w:val="24"/>
              </w:rPr>
              <w:t>产品描述：</w:t>
            </w:r>
            <w:r>
              <w:rPr>
                <w:rFonts w:hint="eastAsia" w:ascii="新宋体" w:hAnsi="新宋体" w:eastAsia="新宋体" w:cs="新宋体"/>
                <w:color w:val="000000" w:themeColor="text1"/>
                <w:sz w:val="24"/>
                <w:szCs w:val="24"/>
              </w:rPr>
              <w:br w:type="textWrapping"/>
            </w:r>
            <w:r>
              <w:rPr>
                <w:rFonts w:hint="eastAsia" w:ascii="新宋体" w:hAnsi="新宋体" w:eastAsia="新宋体" w:cs="新宋体"/>
                <w:color w:val="000000" w:themeColor="text1"/>
                <w:sz w:val="24"/>
                <w:szCs w:val="24"/>
              </w:rPr>
              <w:t xml:space="preserve">  1、材质：采用高级环保PU皮革，高密度高回弹软体材料制造，色彩鲜艳、光滑柔软、不易破损、弹性好、安全耐用，高回弹，韧性好，抗张力强。柔软，吸音，吸震。有效阻隔地面寒气。因此，此种弹性安全地垫提供完美的吸撞效能，舒适耐用，维护方便。</w:t>
            </w:r>
            <w:r>
              <w:rPr>
                <w:rFonts w:hint="eastAsia" w:ascii="新宋体" w:hAnsi="新宋体" w:eastAsia="新宋体" w:cs="新宋体"/>
                <w:color w:val="000000" w:themeColor="text1"/>
                <w:sz w:val="24"/>
                <w:szCs w:val="24"/>
              </w:rPr>
              <w:br w:type="textWrapping"/>
            </w:r>
            <w:r>
              <w:rPr>
                <w:rFonts w:hint="eastAsia" w:ascii="新宋体" w:hAnsi="新宋体" w:eastAsia="新宋体" w:cs="新宋体"/>
                <w:color w:val="000000" w:themeColor="text1"/>
                <w:sz w:val="24"/>
                <w:szCs w:val="24"/>
              </w:rPr>
              <w:t xml:space="preserve">  2、规格：高度1.</w:t>
            </w:r>
            <w:r>
              <w:rPr>
                <w:rFonts w:hint="eastAsia" w:ascii="新宋体" w:hAnsi="新宋体" w:eastAsia="新宋体" w:cs="新宋体"/>
                <w:color w:val="000000" w:themeColor="text1"/>
                <w:sz w:val="24"/>
                <w:szCs w:val="24"/>
              </w:rPr>
              <w:t>22</w:t>
            </w:r>
            <w:r>
              <w:rPr>
                <w:rFonts w:hint="eastAsia" w:ascii="新宋体" w:hAnsi="新宋体" w:eastAsia="新宋体" w:cs="新宋体"/>
                <w:color w:val="000000" w:themeColor="text1"/>
                <w:sz w:val="24"/>
                <w:szCs w:val="24"/>
              </w:rPr>
              <w:t>米</w:t>
            </w:r>
            <w:r>
              <w:rPr>
                <w:rFonts w:hint="eastAsia" w:ascii="新宋体" w:hAnsi="新宋体" w:eastAsia="新宋体" w:cs="新宋体"/>
                <w:color w:val="000000" w:themeColor="text1"/>
                <w:sz w:val="24"/>
                <w:szCs w:val="24"/>
              </w:rPr>
              <w:br w:type="textWrapping"/>
            </w:r>
            <w:r>
              <w:rPr>
                <w:rFonts w:hint="eastAsia" w:ascii="新宋体" w:hAnsi="新宋体" w:eastAsia="新宋体" w:cs="新宋体"/>
                <w:color w:val="000000" w:themeColor="text1"/>
                <w:sz w:val="24"/>
                <w:szCs w:val="24"/>
              </w:rPr>
              <w:t xml:space="preserve">  3、颜色：红、黄、深蓝、浅蓝、绿、橙等</w:t>
            </w:r>
          </w:p>
        </w:tc>
        <w:tc>
          <w:tcPr>
            <w:tcW w:w="567"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46</w:t>
            </w:r>
          </w:p>
        </w:tc>
        <w:tc>
          <w:tcPr>
            <w:tcW w:w="1984" w:type="dxa"/>
            <w:vAlign w:val="center"/>
          </w:tcPr>
          <w:p>
            <w:pP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dxa"/>
            <w:vAlign w:val="center"/>
          </w:tcPr>
          <w:p>
            <w:pPr>
              <w:widowControl/>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47</w:t>
            </w:r>
          </w:p>
        </w:tc>
        <w:tc>
          <w:tcPr>
            <w:tcW w:w="495" w:type="dxa"/>
            <w:vMerge w:val="continue"/>
            <w:vAlign w:val="center"/>
          </w:tcPr>
          <w:p>
            <w:pPr>
              <w:jc w:val="center"/>
              <w:rPr>
                <w:rFonts w:hint="eastAsia" w:ascii="新宋体" w:hAnsi="新宋体" w:eastAsia="新宋体" w:cs="新宋体"/>
                <w:color w:val="000000" w:themeColor="text1"/>
                <w:szCs w:val="21"/>
              </w:rPr>
            </w:pPr>
          </w:p>
        </w:tc>
        <w:tc>
          <w:tcPr>
            <w:tcW w:w="767" w:type="dxa"/>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装饰布置</w:t>
            </w:r>
          </w:p>
        </w:tc>
        <w:tc>
          <w:tcPr>
            <w:tcW w:w="4962" w:type="dxa"/>
            <w:vAlign w:val="center"/>
          </w:tcPr>
          <w:p>
            <w:pPr>
              <w:rPr>
                <w:rFonts w:hint="eastAsia" w:ascii="新宋体" w:hAnsi="新宋体" w:eastAsia="新宋体" w:cs="新宋体"/>
                <w:color w:val="000000" w:themeColor="text1"/>
                <w:sz w:val="24"/>
                <w:szCs w:val="24"/>
              </w:rPr>
            </w:pPr>
            <w:r>
              <w:rPr>
                <w:rFonts w:hint="eastAsia" w:ascii="新宋体" w:hAnsi="新宋体" w:eastAsia="新宋体" w:cs="新宋体"/>
                <w:color w:val="000000" w:themeColor="text1"/>
                <w:sz w:val="24"/>
                <w:szCs w:val="24"/>
              </w:rPr>
              <w:t>面积：根据现场实际情况进行装修</w:t>
            </w:r>
            <w:r>
              <w:rPr>
                <w:rFonts w:hint="eastAsia" w:ascii="新宋体" w:hAnsi="新宋体" w:eastAsia="新宋体" w:cs="新宋体"/>
                <w:color w:val="000000" w:themeColor="text1"/>
                <w:sz w:val="24"/>
                <w:szCs w:val="24"/>
              </w:rPr>
              <w:br w:type="textWrapping"/>
            </w:r>
            <w:r>
              <w:rPr>
                <w:rFonts w:hint="eastAsia" w:ascii="新宋体" w:hAnsi="新宋体" w:eastAsia="新宋体" w:cs="新宋体"/>
                <w:color w:val="000000" w:themeColor="text1"/>
                <w:sz w:val="24"/>
                <w:szCs w:val="24"/>
              </w:rPr>
              <w:t>室内装修内容： 墙面处理(腻子粉刮平、环保乳胶墙面处理，调制温馨色彩)</w:t>
            </w:r>
          </w:p>
          <w:p>
            <w:pPr>
              <w:rPr>
                <w:rFonts w:hint="eastAsia" w:ascii="新宋体" w:hAnsi="新宋体" w:eastAsia="新宋体" w:cs="新宋体"/>
                <w:color w:val="000000" w:themeColor="text1"/>
                <w:sz w:val="24"/>
                <w:szCs w:val="24"/>
              </w:rPr>
            </w:pPr>
            <w:r>
              <w:rPr>
                <w:rFonts w:hint="eastAsia" w:ascii="新宋体" w:hAnsi="新宋体" w:eastAsia="新宋体" w:cs="新宋体"/>
                <w:color w:val="000000" w:themeColor="text1"/>
                <w:sz w:val="24"/>
                <w:szCs w:val="24"/>
              </w:rPr>
              <w:t>墙面刮腻子，涂涮乳胶漆:防裂宝,石膏粉填缝，白布条强力白乳胶贴缝防裂，角线修饰边角，腻子粉刷两遍找平，打磨平整。多乐士（立邦）环保漆，调温馨色彩搭配涂刷，一底两面。</w:t>
            </w:r>
          </w:p>
        </w:tc>
        <w:tc>
          <w:tcPr>
            <w:tcW w:w="567" w:type="dxa"/>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64</w:t>
            </w:r>
          </w:p>
        </w:tc>
        <w:tc>
          <w:tcPr>
            <w:tcW w:w="1984" w:type="dxa"/>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color w:val="000000" w:themeColor="text1"/>
                <w:szCs w:val="21"/>
              </w:rPr>
              <w:t>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209" w:type="dxa"/>
            <w:gridSpan w:val="6"/>
            <w:vAlign w:val="center"/>
          </w:tcPr>
          <w:p>
            <w:pPr>
              <w:jc w:val="center"/>
              <w:rPr>
                <w:rFonts w:hint="eastAsia" w:ascii="新宋体" w:hAnsi="新宋体" w:eastAsia="新宋体" w:cs="新宋体"/>
                <w:color w:val="000000" w:themeColor="text1"/>
                <w:szCs w:val="21"/>
              </w:rPr>
            </w:pPr>
            <w:r>
              <w:rPr>
                <w:rFonts w:hint="eastAsia" w:ascii="新宋体" w:hAnsi="新宋体" w:eastAsia="新宋体" w:cs="新宋体"/>
                <w:bCs/>
                <w:color w:val="auto"/>
                <w:sz w:val="28"/>
                <w:szCs w:val="28"/>
                <w:shd w:val="clear" w:color="auto" w:fill="auto"/>
                <w:lang w:eastAsia="zh-CN"/>
              </w:rPr>
              <w:t>本次竞标</w:t>
            </w:r>
            <w:r>
              <w:rPr>
                <w:rFonts w:hint="eastAsia" w:ascii="新宋体" w:hAnsi="新宋体" w:eastAsia="新宋体" w:cs="新宋体"/>
                <w:bCs/>
                <w:color w:val="auto"/>
                <w:sz w:val="28"/>
                <w:szCs w:val="28"/>
                <w:shd w:val="clear" w:color="auto" w:fill="auto"/>
              </w:rPr>
              <w:t>项目预算金额（人民币）：</w:t>
            </w:r>
            <w:r>
              <w:rPr>
                <w:rFonts w:hint="eastAsia" w:ascii="新宋体" w:hAnsi="新宋体" w:eastAsia="新宋体" w:cs="新宋体"/>
                <w:color w:val="auto"/>
                <w:sz w:val="28"/>
                <w:szCs w:val="28"/>
                <w:u w:val="single"/>
                <w:shd w:val="clear" w:color="auto" w:fill="auto"/>
              </w:rPr>
              <w:t>200</w:t>
            </w:r>
            <w:r>
              <w:rPr>
                <w:rFonts w:hint="eastAsia" w:ascii="新宋体" w:hAnsi="新宋体" w:eastAsia="新宋体" w:cs="新宋体"/>
                <w:color w:val="auto"/>
                <w:sz w:val="28"/>
                <w:szCs w:val="28"/>
                <w:u w:val="single"/>
                <w:shd w:val="clear" w:color="auto" w:fill="auto"/>
                <w:lang w:val="en-US" w:eastAsia="zh-CN"/>
              </w:rPr>
              <w:t>00</w:t>
            </w:r>
            <w:r>
              <w:rPr>
                <w:rFonts w:hint="eastAsia" w:ascii="新宋体" w:hAnsi="新宋体" w:eastAsia="新宋体" w:cs="新宋体"/>
                <w:color w:val="auto"/>
                <w:sz w:val="28"/>
                <w:szCs w:val="28"/>
                <w:u w:val="single"/>
                <w:shd w:val="clear" w:color="auto" w:fill="auto"/>
              </w:rPr>
              <w:t>0.00</w:t>
            </w:r>
            <w:r>
              <w:rPr>
                <w:rFonts w:hint="eastAsia" w:ascii="新宋体" w:hAnsi="新宋体" w:eastAsia="新宋体" w:cs="新宋体"/>
                <w:bCs/>
                <w:color w:val="auto"/>
                <w:sz w:val="28"/>
                <w:szCs w:val="28"/>
                <w:u w:val="single"/>
                <w:shd w:val="clear" w:color="auto" w:fill="auto"/>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9" w:type="dxa"/>
            <w:gridSpan w:val="6"/>
            <w:vAlign w:val="center"/>
          </w:tcPr>
          <w:p>
            <w:pPr>
              <w:pStyle w:val="11"/>
              <w:jc w:val="left"/>
              <w:rPr>
                <w:rFonts w:hint="eastAsia" w:ascii="新宋体" w:hAnsi="新宋体" w:eastAsia="新宋体" w:cs="新宋体"/>
                <w:szCs w:val="21"/>
              </w:rPr>
            </w:pPr>
            <w:r>
              <w:rPr>
                <w:rFonts w:hint="eastAsia" w:ascii="新宋体" w:hAnsi="新宋体" w:eastAsia="新宋体" w:cs="新宋体"/>
                <w:szCs w:val="21"/>
              </w:rPr>
              <w:t>其他要求：</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一、合同签订期：自中标通知书发出之日起7个工作日内；</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二、交货期：自合同签订之日起30个工作日内交货并安装完毕；</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三、交货地点：学校指定教室；</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四、交货方式：现场交货；</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五、售后服务要求：</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1、投标人提供的硬件设备及软件的技术参数、配置和性能指标必须为真实有效，签订合同前须出具生产制造厂商的供货确认函（加盖生产厂商单位公章），并在正式交货前提供一套设备进行预安装，如有提供虚假材料谋取中标的，按政府采购相关法规处罚，并追究其相应的法律责任；</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▲2、质量保证期1年（自交货并验收合格之日起计）；</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3、故障响应时间：中标供应商应接到故障通知后在4小时内到采购人指定现场，按国家及行业标准对故障进行及时处理；在8小时内不能解决的，供应商须在一个工作日内提供与原设备技术参数要求相同或高于原设备技术参数要求的备用产品，以保证采购人的正常工作；</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4、免费送货上门、安装、调试，免费培训使用人员和维护人员，培训内容主要为：设备的软硬件安装、维护；</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5、在质量保证期内设备非因人为及不可抗拒因素的原因而引起损坏或质量问题，中标供应商应免费予以技术服务、维修或设备更换，并承担相应费用和零部件的费用，因人为因素出现的故障不在免费保修范围内，中标供应商也要积极帮助采购人修理，并提供优惠价格的配件和服务；</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6、每半年至少进行一次定期回访以及对设备保养；；</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六、投标报价为采购人指定地点的现场交货价，包括：</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（1）货物及标准附件、备品备件、专用工具的价格；</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（2）运输、装卸、调试、培训、技术支持、售后服务等费用；</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（3）必要的保险费用和各项税费；</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（4）包括安装费用；</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（5）到现场验收的费用。</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七、付款方式：</w:t>
            </w:r>
            <w:r>
              <w:rPr>
                <w:rFonts w:hint="eastAsia" w:ascii="新宋体" w:hAnsi="新宋体" w:eastAsia="新宋体" w:cs="新宋体"/>
                <w:szCs w:val="21"/>
              </w:rPr>
              <w:t>财政性资金按财政国库集中支付规定程序办理；货物验收合格正常使用后5个工作日支付合同总金额的95%，余下的5%在货物验收合格正常使用满一年后，5个工作日内一次性付清。</w:t>
            </w:r>
            <w:r>
              <w:rPr>
                <w:rFonts w:hint="eastAsia" w:ascii="新宋体" w:hAnsi="新宋体" w:eastAsia="新宋体" w:cs="新宋体"/>
                <w:szCs w:val="21"/>
              </w:rPr>
              <w:br w:type="textWrapping"/>
            </w:r>
            <w:r>
              <w:rPr>
                <w:rFonts w:hint="eastAsia" w:ascii="新宋体" w:hAnsi="新宋体" w:eastAsia="新宋体" w:cs="新宋体"/>
                <w:color w:val="000000"/>
                <w:szCs w:val="21"/>
              </w:rPr>
              <w:t>八、备品备件及耗材等要求：中标供应商应按中标价或优于市场价提供相关配件和服务。</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九、验收条件及标准：</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（1）常温0℃－35℃，符合合同要求及国家相关标准；</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（2）参数配置符合标书要求，无任何变动；</w:t>
            </w:r>
          </w:p>
          <w:p>
            <w:pPr>
              <w:pStyle w:val="11"/>
              <w:jc w:val="left"/>
              <w:rPr>
                <w:rFonts w:hint="eastAsia" w:ascii="新宋体" w:hAnsi="新宋体" w:eastAsia="新宋体" w:cs="新宋体"/>
                <w:color w:val="000000"/>
                <w:szCs w:val="21"/>
              </w:rPr>
            </w:pPr>
            <w:r>
              <w:rPr>
                <w:rFonts w:hint="eastAsia" w:ascii="新宋体" w:hAnsi="新宋体" w:eastAsia="新宋体" w:cs="新宋体"/>
                <w:color w:val="000000"/>
                <w:szCs w:val="21"/>
              </w:rPr>
              <w:t>（3）中标供应商提供所招标采购的货物、配套设备、所属装置等有关技术资料作为验收的参考依据。</w:t>
            </w:r>
            <w:r>
              <w:rPr>
                <w:rFonts w:hint="eastAsia" w:ascii="新宋体" w:hAnsi="新宋体" w:eastAsia="新宋体" w:cs="新宋体"/>
                <w:b/>
                <w:bCs/>
                <w:color w:val="000000"/>
                <w:szCs w:val="21"/>
              </w:rPr>
              <w:t xml:space="preserve"> </w:t>
            </w:r>
          </w:p>
        </w:tc>
      </w:tr>
    </w:tbl>
    <w:p>
      <w:pPr>
        <w:jc w:val="left"/>
        <w:rPr>
          <w:rFonts w:hint="eastAsia" w:ascii="新宋体" w:hAnsi="新宋体" w:eastAsia="新宋体" w:cs="新宋体"/>
          <w:sz w:val="36"/>
          <w:szCs w:val="36"/>
        </w:rPr>
      </w:pPr>
    </w:p>
    <w:p>
      <w:pPr>
        <w:jc w:val="left"/>
        <w:rPr>
          <w:rFonts w:hint="eastAsia" w:ascii="新宋体" w:hAnsi="新宋体" w:eastAsia="新宋体" w:cs="新宋体"/>
          <w:sz w:val="36"/>
          <w:szCs w:val="36"/>
        </w:rPr>
      </w:pPr>
    </w:p>
    <w:p>
      <w:pPr>
        <w:jc w:val="left"/>
        <w:rPr>
          <w:rFonts w:hint="eastAsia" w:ascii="新宋体" w:hAnsi="新宋体" w:eastAsia="新宋体" w:cs="新宋体"/>
          <w:sz w:val="36"/>
          <w:szCs w:val="36"/>
        </w:rPr>
      </w:pPr>
    </w:p>
    <w:p>
      <w:pPr>
        <w:pStyle w:val="2"/>
        <w:rPr>
          <w:rFonts w:hint="eastAsia" w:ascii="新宋体" w:hAnsi="新宋体" w:eastAsia="新宋体" w:cs="新宋体"/>
          <w:sz w:val="36"/>
          <w:szCs w:val="36"/>
        </w:rPr>
      </w:pPr>
    </w:p>
    <w:p>
      <w:pPr>
        <w:pStyle w:val="2"/>
        <w:rPr>
          <w:rFonts w:hint="eastAsia" w:ascii="新宋体" w:hAnsi="新宋体" w:eastAsia="新宋体" w:cs="新宋体"/>
          <w:sz w:val="36"/>
          <w:szCs w:val="36"/>
        </w:rPr>
      </w:pPr>
    </w:p>
    <w:p>
      <w:pPr>
        <w:pStyle w:val="2"/>
        <w:rPr>
          <w:rFonts w:hint="eastAsia" w:ascii="新宋体" w:hAnsi="新宋体" w:eastAsia="新宋体" w:cs="新宋体"/>
          <w:sz w:val="36"/>
          <w:szCs w:val="36"/>
        </w:rPr>
      </w:pPr>
    </w:p>
    <w:p>
      <w:pPr>
        <w:pStyle w:val="2"/>
        <w:rPr>
          <w:rFonts w:hint="eastAsia" w:ascii="新宋体" w:hAnsi="新宋体" w:eastAsia="新宋体" w:cs="新宋体"/>
          <w:sz w:val="36"/>
          <w:szCs w:val="36"/>
        </w:rPr>
      </w:pPr>
    </w:p>
    <w:p>
      <w:pPr>
        <w:pStyle w:val="2"/>
        <w:rPr>
          <w:rFonts w:hint="eastAsia" w:ascii="新宋体" w:hAnsi="新宋体" w:eastAsia="新宋体" w:cs="新宋体"/>
          <w:sz w:val="36"/>
          <w:szCs w:val="36"/>
        </w:rPr>
      </w:pPr>
    </w:p>
    <w:p>
      <w:pPr>
        <w:pStyle w:val="2"/>
        <w:jc w:val="both"/>
        <w:rPr>
          <w:rFonts w:hint="eastAsia" w:ascii="新宋体" w:hAnsi="新宋体" w:eastAsia="新宋体" w:cs="新宋体"/>
          <w:sz w:val="36"/>
          <w:szCs w:val="36"/>
          <w:lang w:eastAsia="zh-CN"/>
        </w:rPr>
      </w:pPr>
    </w:p>
    <w:p>
      <w:pPr>
        <w:pStyle w:val="2"/>
        <w:jc w:val="both"/>
        <w:rPr>
          <w:rFonts w:hint="eastAsia" w:ascii="新宋体" w:hAnsi="新宋体" w:eastAsia="新宋体" w:cs="新宋体"/>
          <w:sz w:val="36"/>
          <w:szCs w:val="36"/>
          <w:lang w:eastAsia="zh-CN"/>
        </w:rPr>
      </w:pPr>
    </w:p>
    <w:p>
      <w:pPr>
        <w:pStyle w:val="2"/>
        <w:jc w:val="both"/>
        <w:rPr>
          <w:rFonts w:hint="eastAsia" w:ascii="新宋体" w:hAnsi="新宋体" w:eastAsia="新宋体" w:cs="新宋体"/>
          <w:sz w:val="36"/>
          <w:szCs w:val="36"/>
          <w:lang w:eastAsia="zh-CN"/>
        </w:rPr>
      </w:pPr>
    </w:p>
    <w:p>
      <w:pPr>
        <w:pStyle w:val="2"/>
        <w:jc w:val="both"/>
        <w:rPr>
          <w:rFonts w:hint="eastAsia" w:ascii="新宋体" w:hAnsi="新宋体" w:eastAsia="新宋体" w:cs="新宋体"/>
          <w:sz w:val="36"/>
          <w:szCs w:val="36"/>
          <w:lang w:eastAsia="zh-CN"/>
        </w:rPr>
      </w:pPr>
    </w:p>
    <w:p>
      <w:pPr>
        <w:pStyle w:val="2"/>
        <w:jc w:val="both"/>
        <w:rPr>
          <w:rFonts w:hint="eastAsia" w:ascii="新宋体" w:hAnsi="新宋体" w:eastAsia="新宋体" w:cs="新宋体"/>
          <w:sz w:val="36"/>
          <w:szCs w:val="36"/>
          <w:lang w:eastAsia="zh-CN"/>
        </w:rPr>
      </w:pPr>
    </w:p>
    <w:p>
      <w:pPr>
        <w:pStyle w:val="2"/>
        <w:jc w:val="both"/>
        <w:rPr>
          <w:rFonts w:hint="eastAsia" w:ascii="新宋体" w:hAnsi="新宋体" w:eastAsia="新宋体" w:cs="新宋体"/>
          <w:sz w:val="36"/>
          <w:szCs w:val="36"/>
          <w:lang w:eastAsia="zh-CN"/>
        </w:rPr>
      </w:pPr>
    </w:p>
    <w:p>
      <w:pPr>
        <w:pStyle w:val="2"/>
        <w:jc w:val="both"/>
        <w:rPr>
          <w:rFonts w:hint="eastAsia" w:ascii="新宋体" w:hAnsi="新宋体" w:eastAsia="新宋体" w:cs="新宋体"/>
          <w:sz w:val="36"/>
          <w:szCs w:val="36"/>
          <w:lang w:eastAsia="zh-CN"/>
        </w:rPr>
      </w:pPr>
    </w:p>
    <w:p>
      <w:pPr>
        <w:jc w:val="left"/>
        <w:rPr>
          <w:rFonts w:hint="eastAsia" w:ascii="新宋体" w:hAnsi="新宋体" w:eastAsia="新宋体" w:cs="新宋体"/>
          <w:sz w:val="36"/>
          <w:szCs w:val="36"/>
        </w:rPr>
      </w:pPr>
    </w:p>
    <w:p>
      <w:pPr>
        <w:rPr>
          <w:rFonts w:hint="eastAsia" w:ascii="新宋体" w:hAnsi="新宋体" w:eastAsia="新宋体" w:cs="新宋体"/>
        </w:rPr>
      </w:pPr>
      <w:r>
        <w:rPr>
          <w:rFonts w:hint="eastAsia" w:ascii="新宋体" w:hAnsi="新宋体" w:eastAsia="新宋体" w:cs="新宋体"/>
        </w:rPr>
        <w:br w:type="page"/>
      </w:r>
    </w:p>
    <w:p>
      <w:pPr>
        <w:pStyle w:val="3"/>
        <w:ind w:firstLine="1767" w:firstLineChars="400"/>
        <w:rPr>
          <w:rFonts w:hint="eastAsia" w:ascii="新宋体" w:hAnsi="新宋体" w:eastAsia="新宋体" w:cs="新宋体"/>
          <w:sz w:val="32"/>
        </w:rPr>
      </w:pPr>
      <w:bookmarkStart w:id="109" w:name="_Toc8475"/>
      <w:r>
        <w:rPr>
          <w:rFonts w:hint="eastAsia" w:ascii="新宋体" w:hAnsi="新宋体" w:eastAsia="新宋体" w:cs="新宋体"/>
        </w:rPr>
        <w:t>第四章   合同基本条款</w:t>
      </w:r>
      <w:bookmarkEnd w:id="106"/>
      <w:bookmarkEnd w:id="107"/>
      <w:bookmarkEnd w:id="108"/>
      <w:bookmarkEnd w:id="109"/>
    </w:p>
    <w:p>
      <w:pPr>
        <w:pStyle w:val="11"/>
        <w:jc w:val="center"/>
        <w:rPr>
          <w:rFonts w:hint="eastAsia" w:ascii="新宋体" w:hAnsi="新宋体" w:eastAsia="新宋体" w:cs="新宋体"/>
          <w:b/>
          <w:sz w:val="44"/>
          <w:szCs w:val="44"/>
        </w:rPr>
      </w:pPr>
      <w:r>
        <w:rPr>
          <w:rFonts w:hint="eastAsia" w:ascii="新宋体" w:hAnsi="新宋体" w:eastAsia="新宋体" w:cs="新宋体"/>
          <w:b/>
          <w:sz w:val="44"/>
          <w:szCs w:val="44"/>
        </w:rPr>
        <w:t>合同基本条款</w:t>
      </w: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一     说   明</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1.1合同基本条款是指买方（以下简称甲方）和成交供应商（以下简称乙方）应共同遵守的基本原则，并做为双方签约的依据。对于合同的其他条款，双方应本着互谅互让的精神，在谈判中协商解决。</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1.2制订《合同基本条款》的依据是：《中华人民共和国合同法》。</w:t>
      </w:r>
      <w:r>
        <w:rPr>
          <w:rFonts w:hint="eastAsia" w:ascii="新宋体" w:hAnsi="新宋体" w:eastAsia="新宋体" w:cs="新宋体"/>
        </w:rPr>
        <w:cr/>
      </w: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二   货物条款</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2.1甲、乙双方应将谈判采购文件、响应文件及谈判小组确认的货物名称、规格型号、技术要求、质量标准、数量、交货日期和售后服务内容等作为本条款的基础。</w:t>
      </w:r>
    </w:p>
    <w:p>
      <w:pPr>
        <w:pStyle w:val="11"/>
        <w:spacing w:line="380" w:lineRule="exact"/>
        <w:rPr>
          <w:rFonts w:hint="eastAsia" w:ascii="新宋体" w:hAnsi="新宋体" w:eastAsia="新宋体" w:cs="新宋体"/>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三    技术资料</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3.1乙方应在交货时按谈判采购文件规定向甲方提供所采购货物、配套设备、配套设施、附属装置等有关技术文件资料。</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3.2乙方提供的货物应有符合国家标准以及本产品的出厂标准的质量检验证明。</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3.3乙方提供的货物应有使用说明书、质量证书。</w:t>
      </w:r>
    </w:p>
    <w:p>
      <w:pPr>
        <w:pStyle w:val="11"/>
        <w:spacing w:line="380" w:lineRule="exact"/>
        <w:ind w:firstLine="420"/>
        <w:rPr>
          <w:rFonts w:hint="eastAsia" w:ascii="新宋体" w:hAnsi="新宋体" w:eastAsia="新宋体" w:cs="新宋体"/>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四   专利权</w:t>
      </w:r>
    </w:p>
    <w:p>
      <w:pPr>
        <w:pStyle w:val="11"/>
        <w:spacing w:line="380" w:lineRule="exact"/>
        <w:ind w:firstLine="420" w:firstLineChars="200"/>
        <w:rPr>
          <w:rFonts w:hint="eastAsia" w:ascii="新宋体" w:hAnsi="新宋体" w:eastAsia="新宋体" w:cs="新宋体"/>
        </w:rPr>
      </w:pPr>
      <w:r>
        <w:rPr>
          <w:rFonts w:hint="eastAsia" w:ascii="新宋体" w:hAnsi="新宋体" w:eastAsia="新宋体" w:cs="新宋体"/>
        </w:rPr>
        <w:t>4.1乙方应保证甲方在使用该货物或其任何一部分时免受第三方关于侵犯专利权、商标权或工业设计权的指控。任何第三方如果提出侵权指控，乙方须与第三方交涉并承担由此引起的一切法律责任和费用。</w:t>
      </w:r>
    </w:p>
    <w:p>
      <w:pPr>
        <w:pStyle w:val="11"/>
        <w:spacing w:line="380" w:lineRule="exact"/>
        <w:jc w:val="center"/>
        <w:rPr>
          <w:rFonts w:hint="eastAsia" w:ascii="新宋体" w:hAnsi="新宋体" w:eastAsia="新宋体" w:cs="新宋体"/>
          <w:b/>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五    包装要求</w:t>
      </w:r>
    </w:p>
    <w:p>
      <w:pPr>
        <w:pStyle w:val="11"/>
        <w:spacing w:line="380" w:lineRule="exact"/>
        <w:ind w:firstLine="420" w:firstLineChars="200"/>
        <w:rPr>
          <w:rFonts w:hint="eastAsia" w:ascii="新宋体" w:hAnsi="新宋体" w:eastAsia="新宋体" w:cs="新宋体"/>
        </w:rPr>
      </w:pPr>
      <w:r>
        <w:rPr>
          <w:rFonts w:hint="eastAsia" w:ascii="新宋体" w:hAnsi="新宋体" w:eastAsia="新宋体" w:cs="新宋体"/>
        </w:rPr>
        <w:t>5.1除合同另有规定外，乙方提供的全部货物均应按标准保护措施进行包装，这类包装应适应于远距离运输、防潮、防震、防锈和防野蛮装卸，以确保货物安全无损运抵指定现场。</w:t>
      </w:r>
    </w:p>
    <w:p>
      <w:pPr>
        <w:pStyle w:val="11"/>
        <w:spacing w:line="380" w:lineRule="exact"/>
        <w:ind w:firstLine="420" w:firstLineChars="200"/>
        <w:rPr>
          <w:rFonts w:hint="eastAsia" w:ascii="新宋体" w:hAnsi="新宋体" w:eastAsia="新宋体" w:cs="新宋体"/>
        </w:rPr>
      </w:pPr>
      <w:r>
        <w:rPr>
          <w:rFonts w:hint="eastAsia" w:ascii="新宋体" w:hAnsi="新宋体" w:eastAsia="新宋体" w:cs="新宋体"/>
        </w:rPr>
        <w:t>5.2每一个包装箱内应附一份详细装箱单、随配附件和工具。</w:t>
      </w:r>
    </w:p>
    <w:p>
      <w:pPr>
        <w:pStyle w:val="11"/>
        <w:spacing w:line="380" w:lineRule="exact"/>
        <w:ind w:firstLine="420" w:firstLineChars="200"/>
        <w:rPr>
          <w:rFonts w:hint="eastAsia" w:ascii="新宋体" w:hAnsi="新宋体" w:eastAsia="新宋体" w:cs="新宋体"/>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六    质量保证</w:t>
      </w:r>
    </w:p>
    <w:p>
      <w:pPr>
        <w:pStyle w:val="11"/>
        <w:ind w:firstLine="420"/>
        <w:rPr>
          <w:rFonts w:hint="eastAsia" w:ascii="新宋体" w:hAnsi="新宋体" w:eastAsia="新宋体" w:cs="新宋体"/>
        </w:rPr>
      </w:pPr>
      <w:r>
        <w:rPr>
          <w:rFonts w:hint="eastAsia" w:ascii="新宋体" w:hAnsi="新宋体" w:eastAsia="新宋体" w:cs="新宋体"/>
        </w:rPr>
        <w:t>6.1乙方应按谈判采购文件及响应文件的货物性能、技术要求、质量标准向甲方提供未经使用的全新产品。</w:t>
      </w:r>
    </w:p>
    <w:p>
      <w:pPr>
        <w:pStyle w:val="11"/>
        <w:ind w:firstLine="420"/>
        <w:rPr>
          <w:rFonts w:hint="eastAsia" w:ascii="新宋体" w:hAnsi="新宋体" w:eastAsia="新宋体" w:cs="新宋体"/>
        </w:rPr>
      </w:pPr>
      <w:r>
        <w:rPr>
          <w:rFonts w:hint="eastAsia" w:ascii="新宋体" w:hAnsi="新宋体" w:eastAsia="新宋体" w:cs="新宋体"/>
        </w:rPr>
        <w:t>6.2 所采购的货物国家有强制性标准的，竞标货物必须符合国家有强制性标准。</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6.3乙方提供货物的质量保证期按交货验收合格之日起计（期限见货物需求一览表要求）。在保证期内货物本身发生的质量问题，乙方应在谈判采购文件规定的时间、方式给予处理，谈判采购文件没有规定但国家有明确规定的按国家规定执行。对达不到技术要求者，根据实际情况，经双方协商，可按以下办法处理：</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⑴更换：乙方须在20天内更换，并由乙方承担所发生的全部费用。</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⑵贬值处理：由甲乙双方合议定价。</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⑶退货处理：乙方应退还甲方支付的货物款，同时应承担该货物的直接费用（运输、保险、检验、货款利息及银行手续费等）。</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6.4如在使用过程中发生质量问题，卖方应在接到买方故障通知后即时响应，48小时内解决问题。</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6.5在质保期内，乙方应对货物出现的质量及安全问题负责处理解决。</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6.6在质保期满后，乙方应继续提供有偿优质服务，如设备出现故障乙方及时进行维修。</w:t>
      </w:r>
    </w:p>
    <w:p>
      <w:pPr>
        <w:pStyle w:val="11"/>
        <w:spacing w:line="380" w:lineRule="exact"/>
        <w:jc w:val="center"/>
        <w:rPr>
          <w:rFonts w:hint="eastAsia" w:ascii="新宋体" w:hAnsi="新宋体" w:eastAsia="新宋体" w:cs="新宋体"/>
          <w:b/>
        </w:rPr>
      </w:pPr>
    </w:p>
    <w:p>
      <w:pPr>
        <w:pStyle w:val="11"/>
        <w:spacing w:line="380" w:lineRule="exact"/>
        <w:ind w:firstLine="3888" w:firstLineChars="1844"/>
        <w:rPr>
          <w:rFonts w:hint="eastAsia" w:ascii="新宋体" w:hAnsi="新宋体" w:eastAsia="新宋体" w:cs="新宋体"/>
          <w:b/>
        </w:rPr>
      </w:pPr>
      <w:r>
        <w:rPr>
          <w:rFonts w:hint="eastAsia" w:ascii="新宋体" w:hAnsi="新宋体" w:eastAsia="新宋体" w:cs="新宋体"/>
          <w:b/>
        </w:rPr>
        <w:t>七   验  收</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7.1乙方竣工验收前应对整套设备作出全面检测，其记录附在质量证明书内。但有关质量、规格、性能、数量或重量的检验不应视为最终检验。乙方检验的结果和详细要求应在质量证明书中加以说明。</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7.2乙方竣工验收前应把设备、安装、调试、验收合格的完整资料交与甲方。</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7.3 验收费用：验收所发生的费用由乙方负责。</w:t>
      </w:r>
    </w:p>
    <w:p>
      <w:pPr>
        <w:pStyle w:val="11"/>
        <w:spacing w:line="380" w:lineRule="exact"/>
        <w:ind w:firstLine="420"/>
        <w:rPr>
          <w:rFonts w:hint="eastAsia" w:ascii="新宋体" w:hAnsi="新宋体" w:eastAsia="新宋体" w:cs="新宋体"/>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八   货物发运及运输</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8.1 乙方负责将货物安全运送到甲方指定地点，不另收任何费用。</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8.2货物在交货前发生的不可预见的风险均由乙方负责。</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8.3货物在发运手续办理完毕后48小时内或货到甲方前48小时通知甲方，以准备接货。</w:t>
      </w:r>
    </w:p>
    <w:p>
      <w:pPr>
        <w:pStyle w:val="11"/>
        <w:spacing w:line="380" w:lineRule="exact"/>
        <w:rPr>
          <w:rFonts w:hint="eastAsia" w:ascii="新宋体" w:hAnsi="新宋体" w:eastAsia="新宋体" w:cs="新宋体"/>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 xml:space="preserve">  九   交货期及交货方式</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9.1交货期：按《货物需求一览表》规定时间。</w:t>
      </w:r>
    </w:p>
    <w:p>
      <w:pPr>
        <w:pStyle w:val="11"/>
        <w:spacing w:line="380" w:lineRule="exact"/>
        <w:ind w:firstLine="420"/>
        <w:rPr>
          <w:rFonts w:hint="eastAsia" w:ascii="新宋体" w:hAnsi="新宋体" w:eastAsia="新宋体" w:cs="新宋体"/>
          <w:u w:val="single"/>
        </w:rPr>
      </w:pPr>
      <w:r>
        <w:rPr>
          <w:rFonts w:hint="eastAsia" w:ascii="新宋体" w:hAnsi="新宋体" w:eastAsia="新宋体" w:cs="新宋体"/>
        </w:rPr>
        <w:t>9.2交货方式：现场交货、安装、调试验收。</w:t>
      </w:r>
    </w:p>
    <w:p>
      <w:pPr>
        <w:pStyle w:val="11"/>
        <w:spacing w:line="380" w:lineRule="exact"/>
        <w:ind w:firstLine="420"/>
        <w:rPr>
          <w:rFonts w:hint="eastAsia" w:ascii="新宋体" w:hAnsi="新宋体" w:eastAsia="新宋体" w:cs="新宋体"/>
          <w:u w:val="single"/>
        </w:rPr>
      </w:pPr>
      <w:r>
        <w:rPr>
          <w:rFonts w:hint="eastAsia" w:ascii="新宋体" w:hAnsi="新宋体" w:eastAsia="新宋体" w:cs="新宋体"/>
        </w:rPr>
        <w:t>9.3交货地点：按《货物需求一览表》规定地点。</w:t>
      </w:r>
    </w:p>
    <w:p>
      <w:pPr>
        <w:pStyle w:val="11"/>
        <w:spacing w:line="380" w:lineRule="exact"/>
        <w:rPr>
          <w:rFonts w:hint="eastAsia" w:ascii="新宋体" w:hAnsi="新宋体" w:eastAsia="新宋体" w:cs="新宋体"/>
        </w:rPr>
      </w:pPr>
    </w:p>
    <w:p>
      <w:pPr>
        <w:pStyle w:val="11"/>
        <w:spacing w:line="380" w:lineRule="exact"/>
        <w:ind w:firstLine="3544" w:firstLineChars="1681"/>
        <w:rPr>
          <w:rFonts w:hint="eastAsia" w:ascii="新宋体" w:hAnsi="新宋体" w:eastAsia="新宋体" w:cs="新宋体"/>
          <w:b/>
        </w:rPr>
      </w:pPr>
      <w:r>
        <w:rPr>
          <w:rFonts w:hint="eastAsia" w:ascii="新宋体" w:hAnsi="新宋体" w:eastAsia="新宋体" w:cs="新宋体"/>
          <w:b/>
        </w:rPr>
        <w:t xml:space="preserve">    十  付款</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10.1本合同以人民币付款。</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10.2 乙方应按照双方签订的合同规定交货。交货后乙方应把下列单据提交给甲方，甲方按合同规定审核后付款：</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（1）制造厂家出具的质量检验证书和数量证明书；</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（2）装箱单；</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（3）验收证书。</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10.3甲方将按“合同条款前附表”规定的付款计划安排付款。</w:t>
      </w:r>
    </w:p>
    <w:p>
      <w:pPr>
        <w:pStyle w:val="11"/>
        <w:spacing w:line="380" w:lineRule="exact"/>
        <w:ind w:firstLine="420"/>
        <w:rPr>
          <w:rFonts w:hint="eastAsia" w:ascii="新宋体" w:hAnsi="新宋体" w:eastAsia="新宋体" w:cs="新宋体"/>
        </w:rPr>
      </w:pPr>
    </w:p>
    <w:p>
      <w:pPr>
        <w:pStyle w:val="11"/>
        <w:spacing w:line="380" w:lineRule="exact"/>
        <w:ind w:firstLine="3162" w:firstLineChars="1500"/>
        <w:rPr>
          <w:rFonts w:hint="eastAsia" w:ascii="新宋体" w:hAnsi="新宋体" w:eastAsia="新宋体" w:cs="新宋体"/>
          <w:b/>
        </w:rPr>
      </w:pPr>
      <w:r>
        <w:rPr>
          <w:rFonts w:hint="eastAsia" w:ascii="新宋体" w:hAnsi="新宋体" w:eastAsia="新宋体" w:cs="新宋体"/>
          <w:b/>
        </w:rPr>
        <w:t>十一  违约责任</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11.1逾期交货或无正当理由拒收的，每天按合同额的1‰支付违约金。</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11.2逾期超过30天仍不能交货的，甲方可解除双方的供货合同，造成甲方损失的，由乙方负责赔偿。</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11.3其它未尽事宜，双方签订合同时按合同法议定。</w:t>
      </w:r>
    </w:p>
    <w:p>
      <w:pPr>
        <w:pStyle w:val="11"/>
        <w:spacing w:line="380" w:lineRule="exact"/>
        <w:rPr>
          <w:rFonts w:hint="eastAsia" w:ascii="新宋体" w:hAnsi="新宋体" w:eastAsia="新宋体" w:cs="新宋体"/>
        </w:rPr>
      </w:pPr>
    </w:p>
    <w:p>
      <w:pPr>
        <w:pStyle w:val="11"/>
        <w:tabs>
          <w:tab w:val="left" w:pos="3960"/>
        </w:tabs>
        <w:spacing w:line="380" w:lineRule="exact"/>
        <w:jc w:val="center"/>
        <w:rPr>
          <w:rFonts w:hint="eastAsia" w:ascii="新宋体" w:hAnsi="新宋体" w:eastAsia="新宋体" w:cs="新宋体"/>
          <w:b/>
        </w:rPr>
      </w:pPr>
      <w:r>
        <w:rPr>
          <w:rFonts w:hint="eastAsia" w:ascii="新宋体" w:hAnsi="新宋体" w:eastAsia="新宋体" w:cs="新宋体"/>
          <w:b/>
        </w:rPr>
        <w:t>十二    不可抗力事件处理</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12.1在合同有效期限内，甲乙双方的任何一方由于不可抗力的原因不能履行合同时，应及时向对方通报不能履行或不能完全履行的理由；在取得有关权威机关证明以后，经双方协商允许延期履行、部分履行、或者不履行合同，并根据情况可部分或全部免予承担违约责任。</w:t>
      </w:r>
    </w:p>
    <w:p>
      <w:pPr>
        <w:pStyle w:val="11"/>
        <w:spacing w:line="380" w:lineRule="exact"/>
        <w:rPr>
          <w:rFonts w:hint="eastAsia" w:ascii="新宋体" w:hAnsi="新宋体" w:eastAsia="新宋体" w:cs="新宋体"/>
        </w:rPr>
      </w:pPr>
    </w:p>
    <w:p>
      <w:pPr>
        <w:pStyle w:val="11"/>
        <w:spacing w:line="380" w:lineRule="exact"/>
        <w:jc w:val="center"/>
        <w:rPr>
          <w:rFonts w:hint="eastAsia" w:ascii="新宋体" w:hAnsi="新宋体" w:eastAsia="新宋体" w:cs="新宋体"/>
          <w:b/>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十三   合同纠纷解决</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13.1双方在履行合同中所发生的一切纠纷，应通过协商解决。如协商不成，按合同事先约定的条款，向合同履行地仲裁机构申请仲裁或向法院起诉。</w:t>
      </w:r>
    </w:p>
    <w:p>
      <w:pPr>
        <w:pStyle w:val="11"/>
        <w:spacing w:line="380" w:lineRule="exact"/>
        <w:jc w:val="center"/>
        <w:rPr>
          <w:rFonts w:hint="eastAsia" w:ascii="新宋体" w:hAnsi="新宋体" w:eastAsia="新宋体" w:cs="新宋体"/>
          <w:b/>
        </w:rPr>
      </w:pPr>
    </w:p>
    <w:p>
      <w:pPr>
        <w:pStyle w:val="11"/>
        <w:spacing w:line="380" w:lineRule="exact"/>
        <w:jc w:val="center"/>
        <w:rPr>
          <w:rFonts w:hint="eastAsia" w:ascii="新宋体" w:hAnsi="新宋体" w:eastAsia="新宋体" w:cs="新宋体"/>
          <w:b/>
        </w:rPr>
      </w:pPr>
      <w:r>
        <w:rPr>
          <w:rFonts w:hint="eastAsia" w:ascii="新宋体" w:hAnsi="新宋体" w:eastAsia="新宋体" w:cs="新宋体"/>
          <w:b/>
        </w:rPr>
        <w:t xml:space="preserve">    十四     合同生效及其它</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14.1合同经双方法定代表人或委托代理人签字并加盖单位公章之日起生效。合同执行期内，甲乙双方均不得随意变更或解除合同。</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14.2合同履行中，如需修改或补充合同内容，由双方协商另签署书面修改或补充协议作为主合同不可分割的一部分。</w:t>
      </w:r>
      <w:bookmarkStart w:id="110" w:name="_Toc340501923"/>
      <w:bookmarkStart w:id="111" w:name="_Toc9243"/>
      <w:bookmarkStart w:id="112" w:name="_Toc25107"/>
    </w:p>
    <w:p>
      <w:pPr>
        <w:pStyle w:val="11"/>
        <w:spacing w:line="380" w:lineRule="exact"/>
        <w:ind w:firstLine="420"/>
        <w:rPr>
          <w:rFonts w:hint="eastAsia" w:ascii="新宋体" w:hAnsi="新宋体" w:eastAsia="新宋体" w:cs="新宋体"/>
        </w:rPr>
      </w:pPr>
    </w:p>
    <w:p>
      <w:pPr>
        <w:pStyle w:val="11"/>
        <w:spacing w:line="380" w:lineRule="exact"/>
        <w:ind w:firstLine="420"/>
        <w:rPr>
          <w:rStyle w:val="37"/>
          <w:rFonts w:hint="eastAsia" w:ascii="新宋体" w:hAnsi="新宋体" w:eastAsia="新宋体" w:cs="新宋体"/>
        </w:rPr>
      </w:pPr>
    </w:p>
    <w:bookmarkEnd w:id="110"/>
    <w:bookmarkEnd w:id="111"/>
    <w:bookmarkEnd w:id="112"/>
    <w:p>
      <w:pPr>
        <w:pStyle w:val="11"/>
        <w:spacing w:line="288" w:lineRule="auto"/>
        <w:ind w:firstLine="2209" w:firstLineChars="500"/>
        <w:rPr>
          <w:rFonts w:hint="eastAsia" w:ascii="新宋体" w:hAnsi="新宋体" w:eastAsia="新宋体" w:cs="新宋体"/>
          <w:b/>
          <w:sz w:val="44"/>
          <w:szCs w:val="44"/>
        </w:rPr>
      </w:pPr>
    </w:p>
    <w:p>
      <w:pPr>
        <w:pStyle w:val="11"/>
        <w:spacing w:line="288" w:lineRule="auto"/>
        <w:ind w:firstLine="2209" w:firstLineChars="500"/>
        <w:rPr>
          <w:rFonts w:hint="eastAsia" w:ascii="新宋体" w:hAnsi="新宋体" w:eastAsia="新宋体" w:cs="新宋体"/>
          <w:b/>
          <w:sz w:val="44"/>
          <w:szCs w:val="44"/>
        </w:rPr>
      </w:pPr>
    </w:p>
    <w:p>
      <w:pPr>
        <w:pStyle w:val="11"/>
        <w:spacing w:line="288" w:lineRule="auto"/>
        <w:ind w:firstLine="2209" w:firstLineChars="500"/>
        <w:rPr>
          <w:rFonts w:hint="eastAsia" w:ascii="新宋体" w:hAnsi="新宋体" w:eastAsia="新宋体" w:cs="新宋体"/>
          <w:b/>
          <w:sz w:val="44"/>
          <w:szCs w:val="44"/>
        </w:rPr>
      </w:pPr>
    </w:p>
    <w:p>
      <w:pPr>
        <w:pStyle w:val="11"/>
        <w:spacing w:line="288" w:lineRule="auto"/>
        <w:ind w:firstLine="2209" w:firstLineChars="500"/>
        <w:rPr>
          <w:rFonts w:hint="eastAsia" w:ascii="新宋体" w:hAnsi="新宋体" w:eastAsia="新宋体" w:cs="新宋体"/>
          <w:b/>
          <w:sz w:val="44"/>
          <w:szCs w:val="44"/>
        </w:rPr>
      </w:pPr>
    </w:p>
    <w:p>
      <w:pPr>
        <w:pStyle w:val="11"/>
        <w:spacing w:line="288" w:lineRule="auto"/>
        <w:ind w:firstLine="2209" w:firstLineChars="500"/>
        <w:rPr>
          <w:rFonts w:hint="eastAsia" w:ascii="新宋体" w:hAnsi="新宋体" w:eastAsia="新宋体" w:cs="新宋体"/>
          <w:b/>
          <w:sz w:val="44"/>
          <w:szCs w:val="44"/>
        </w:rPr>
      </w:pPr>
    </w:p>
    <w:p>
      <w:pPr>
        <w:pStyle w:val="11"/>
        <w:spacing w:line="288" w:lineRule="auto"/>
        <w:ind w:firstLine="2209" w:firstLineChars="500"/>
        <w:rPr>
          <w:rFonts w:hint="eastAsia" w:ascii="新宋体" w:hAnsi="新宋体" w:eastAsia="新宋体" w:cs="新宋体"/>
          <w:b/>
          <w:sz w:val="44"/>
          <w:szCs w:val="44"/>
        </w:rPr>
      </w:pPr>
    </w:p>
    <w:p>
      <w:pPr>
        <w:pStyle w:val="11"/>
        <w:spacing w:line="288" w:lineRule="auto"/>
        <w:ind w:firstLine="2209" w:firstLineChars="500"/>
        <w:rPr>
          <w:rFonts w:hint="eastAsia" w:ascii="新宋体" w:hAnsi="新宋体" w:eastAsia="新宋体" w:cs="新宋体"/>
          <w:b/>
          <w:sz w:val="44"/>
          <w:szCs w:val="44"/>
        </w:rPr>
      </w:pPr>
    </w:p>
    <w:p>
      <w:pPr>
        <w:pStyle w:val="3"/>
        <w:bidi w:val="0"/>
        <w:jc w:val="center"/>
        <w:rPr>
          <w:rFonts w:hint="eastAsia" w:ascii="新宋体" w:hAnsi="新宋体" w:eastAsia="新宋体" w:cs="新宋体"/>
        </w:rPr>
      </w:pPr>
      <w:bookmarkStart w:id="113" w:name="_Toc7028"/>
      <w:r>
        <w:rPr>
          <w:rFonts w:hint="eastAsia" w:ascii="新宋体" w:hAnsi="新宋体" w:eastAsia="新宋体" w:cs="新宋体"/>
        </w:rPr>
        <w:t>第五章</w:t>
      </w:r>
      <w:r>
        <w:rPr>
          <w:rFonts w:hint="eastAsia" w:ascii="新宋体" w:hAnsi="新宋体" w:eastAsia="新宋体" w:cs="新宋体"/>
          <w:lang w:val="en-US" w:eastAsia="zh-CN"/>
        </w:rPr>
        <w:t xml:space="preserve">  </w:t>
      </w:r>
      <w:r>
        <w:rPr>
          <w:rFonts w:hint="eastAsia" w:ascii="新宋体" w:hAnsi="新宋体" w:eastAsia="新宋体" w:cs="新宋体"/>
        </w:rPr>
        <w:t>合同书格式</w:t>
      </w:r>
      <w:bookmarkEnd w:id="113"/>
    </w:p>
    <w:p>
      <w:pPr>
        <w:pStyle w:val="11"/>
        <w:spacing w:line="288" w:lineRule="auto"/>
        <w:ind w:firstLine="3213" w:firstLineChars="1000"/>
        <w:rPr>
          <w:rFonts w:hint="eastAsia" w:ascii="新宋体" w:hAnsi="新宋体" w:eastAsia="新宋体" w:cs="新宋体"/>
          <w:b/>
          <w:sz w:val="32"/>
        </w:rPr>
      </w:pPr>
      <w:r>
        <w:rPr>
          <w:rFonts w:hint="eastAsia" w:ascii="新宋体" w:hAnsi="新宋体" w:eastAsia="新宋体" w:cs="新宋体"/>
          <w:b/>
          <w:sz w:val="32"/>
        </w:rPr>
        <w:t>合 同 书 格式</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合同名称：</w:t>
      </w:r>
      <w:r>
        <w:rPr>
          <w:rFonts w:hint="eastAsia" w:ascii="新宋体" w:hAnsi="新宋体" w:eastAsia="新宋体" w:cs="新宋体"/>
          <w:u w:val="single"/>
          <w:lang w:eastAsia="zh-CN"/>
        </w:rPr>
        <w:t>檀圩镇中心小学资源教室建设采购项目</w:t>
      </w:r>
      <w:r>
        <w:rPr>
          <w:rFonts w:hint="eastAsia" w:ascii="新宋体" w:hAnsi="新宋体" w:eastAsia="新宋体" w:cs="新宋体"/>
          <w:u w:val="single"/>
        </w:rPr>
        <w:t xml:space="preserve">    </w:t>
      </w:r>
    </w:p>
    <w:p>
      <w:pPr>
        <w:pStyle w:val="11"/>
        <w:spacing w:line="300" w:lineRule="exact"/>
        <w:ind w:firstLine="420"/>
        <w:rPr>
          <w:rFonts w:hint="eastAsia" w:ascii="新宋体" w:hAnsi="新宋体" w:eastAsia="新宋体" w:cs="新宋体"/>
          <w:u w:val="single"/>
        </w:rPr>
      </w:pPr>
      <w:r>
        <w:rPr>
          <w:rFonts w:hint="eastAsia" w:ascii="新宋体" w:hAnsi="新宋体" w:eastAsia="新宋体" w:cs="新宋体"/>
        </w:rPr>
        <w:t>合同编号：__________________</w:t>
      </w:r>
      <w:r>
        <w:rPr>
          <w:rFonts w:hint="eastAsia" w:ascii="新宋体" w:hAnsi="新宋体" w:eastAsia="新宋体" w:cs="新宋体"/>
          <w:u w:val="single"/>
        </w:rPr>
        <w:t xml:space="preserve">                  </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甲 方：（采购人）</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乙 方：（成交供应商）</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甲乙双方同意按下述条款和条件签署本合同书（以下简称合同）：</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1、合同文件</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本合同所附下列文件是构成本合同不可分割的部分：</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⑴ 合同基本条款</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⑵ 竞标人提交的竞标函、竞标报价明细表和售后服务承诺等全部竞标文件</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⑶ 货物需求一览表</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⑷ 成交通知书</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⑸ 甲、乙双方商定并经政府采购监督管理部门备案后的补充协议</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2、合同范围和条件</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本合同的范围和条件应与上述合同文件的规定相一致。</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3、货物采购和服务内容</w:t>
      </w:r>
    </w:p>
    <w:p>
      <w:pPr>
        <w:pStyle w:val="11"/>
        <w:spacing w:line="300" w:lineRule="exact"/>
        <w:ind w:left="840" w:leftChars="200" w:hanging="420" w:hangingChars="200"/>
        <w:rPr>
          <w:rFonts w:hint="eastAsia" w:ascii="新宋体" w:hAnsi="新宋体" w:eastAsia="新宋体" w:cs="新宋体"/>
        </w:rPr>
      </w:pPr>
      <w:r>
        <w:rPr>
          <w:rFonts w:hint="eastAsia" w:ascii="新宋体" w:hAnsi="新宋体" w:eastAsia="新宋体" w:cs="新宋体"/>
        </w:rPr>
        <w:t>本合同所涉及的乙方应提供的货物和服务内容详见“货物需求一览表”中所列内容</w:t>
      </w:r>
    </w:p>
    <w:p>
      <w:pPr>
        <w:pStyle w:val="11"/>
        <w:spacing w:line="300" w:lineRule="exact"/>
        <w:rPr>
          <w:rFonts w:hint="eastAsia" w:ascii="新宋体" w:hAnsi="新宋体" w:eastAsia="新宋体" w:cs="新宋体"/>
        </w:rPr>
      </w:pPr>
      <w:r>
        <w:rPr>
          <w:rFonts w:hint="eastAsia" w:ascii="新宋体" w:hAnsi="新宋体" w:eastAsia="新宋体" w:cs="新宋体"/>
        </w:rPr>
        <w:t>和《合同基本条款》。</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4、合同金额</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根据成交通知书的成交内容，合同的总金额为人民币：</w:t>
      </w:r>
      <w:r>
        <w:rPr>
          <w:rFonts w:hint="eastAsia" w:ascii="新宋体" w:hAnsi="新宋体" w:eastAsia="新宋体" w:cs="新宋体"/>
          <w:u w:val="single"/>
        </w:rPr>
        <w:t xml:space="preserve">        元整</w:t>
      </w:r>
      <w:r>
        <w:rPr>
          <w:rFonts w:hint="eastAsia" w:ascii="新宋体" w:hAnsi="新宋体" w:eastAsia="新宋体" w:cs="新宋体"/>
        </w:rPr>
        <w:t>（￥</w:t>
      </w:r>
      <w:r>
        <w:rPr>
          <w:rFonts w:hint="eastAsia" w:ascii="新宋体" w:hAnsi="新宋体" w:eastAsia="新宋体" w:cs="新宋体"/>
          <w:u w:val="single"/>
        </w:rPr>
        <w:t xml:space="preserve">       元 </w:t>
      </w:r>
      <w:r>
        <w:rPr>
          <w:rFonts w:hint="eastAsia" w:ascii="新宋体" w:hAnsi="新宋体" w:eastAsia="新宋体" w:cs="新宋体"/>
        </w:rPr>
        <w:t>）。</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5、付款条件</w:t>
      </w:r>
    </w:p>
    <w:p>
      <w:pPr>
        <w:pStyle w:val="11"/>
        <w:ind w:firstLine="420"/>
        <w:rPr>
          <w:rFonts w:hint="eastAsia" w:ascii="新宋体" w:hAnsi="新宋体" w:eastAsia="新宋体" w:cs="新宋体"/>
          <w:u w:val="single"/>
        </w:rPr>
      </w:pPr>
      <w:r>
        <w:rPr>
          <w:rFonts w:hint="eastAsia" w:ascii="新宋体" w:hAnsi="新宋体" w:eastAsia="新宋体" w:cs="新宋体"/>
        </w:rPr>
        <w:t>付款方式：</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6、交货时间</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本合同货物的</w:t>
      </w:r>
      <w:r>
        <w:rPr>
          <w:rFonts w:hint="eastAsia" w:ascii="新宋体" w:hAnsi="新宋体" w:eastAsia="新宋体" w:cs="新宋体"/>
          <w:bCs/>
        </w:rPr>
        <w:t>交货时间</w:t>
      </w:r>
      <w:r>
        <w:rPr>
          <w:rFonts w:hint="eastAsia" w:ascii="新宋体" w:hAnsi="新宋体" w:eastAsia="新宋体" w:cs="新宋体"/>
        </w:rPr>
        <w:t>在合同的基本条款中有明确规定。即</w:t>
      </w:r>
      <w:r>
        <w:rPr>
          <w:rFonts w:hint="eastAsia" w:ascii="新宋体" w:hAnsi="新宋体" w:eastAsia="新宋体" w:cs="新宋体"/>
          <w:u w:val="single"/>
        </w:rPr>
        <w:t xml:space="preserve">    年   月   日</w:t>
      </w:r>
      <w:r>
        <w:rPr>
          <w:rFonts w:hint="eastAsia" w:ascii="新宋体" w:hAnsi="新宋体" w:eastAsia="新宋体" w:cs="新宋体"/>
        </w:rPr>
        <w:t>前交清并竣工验收合格。</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7、验收办法</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本合同货物的</w:t>
      </w:r>
      <w:r>
        <w:rPr>
          <w:rFonts w:hint="eastAsia" w:ascii="新宋体" w:hAnsi="新宋体" w:eastAsia="新宋体" w:cs="新宋体"/>
          <w:bCs/>
        </w:rPr>
        <w:t>验收办法</w:t>
      </w:r>
      <w:r>
        <w:rPr>
          <w:rFonts w:hint="eastAsia" w:ascii="新宋体" w:hAnsi="新宋体" w:eastAsia="新宋体" w:cs="新宋体"/>
        </w:rPr>
        <w:t>在合同的基本条款中有明确规定。</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8、交货地点及数量</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在，分次，每次台（套），共台（套）交清。</w:t>
      </w:r>
    </w:p>
    <w:p>
      <w:pPr>
        <w:pStyle w:val="11"/>
        <w:spacing w:line="300" w:lineRule="exact"/>
        <w:ind w:firstLine="420"/>
        <w:rPr>
          <w:rFonts w:hint="eastAsia" w:ascii="新宋体" w:hAnsi="新宋体" w:eastAsia="新宋体" w:cs="新宋体"/>
          <w:b/>
        </w:rPr>
      </w:pPr>
      <w:r>
        <w:rPr>
          <w:rFonts w:hint="eastAsia" w:ascii="新宋体" w:hAnsi="新宋体" w:eastAsia="新宋体" w:cs="新宋体"/>
          <w:b/>
        </w:rPr>
        <w:t>9、合同生效及其它</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本合同一式五份，经甲乙双方法定代表人或委托代理人签字并加盖公章后生效。甲乙双方各执一份，政府采购监督管理机构执两份，代理机构执一份。</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甲方名称（公章或合同章）：               乙方名称（公章或合同章）：</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 xml:space="preserve">法定代表人                              法定代表人 </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或委托代理人：                          或委托代理人：</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地    址：                              地    址：</w:t>
      </w:r>
    </w:p>
    <w:p>
      <w:pPr>
        <w:pStyle w:val="11"/>
        <w:spacing w:line="300" w:lineRule="exact"/>
        <w:ind w:firstLine="420"/>
        <w:rPr>
          <w:rFonts w:hint="eastAsia" w:ascii="新宋体" w:hAnsi="新宋体" w:eastAsia="新宋体" w:cs="新宋体"/>
        </w:rPr>
      </w:pPr>
      <w:r>
        <w:rPr>
          <w:rFonts w:hint="eastAsia" w:ascii="新宋体" w:hAnsi="新宋体" w:eastAsia="新宋体" w:cs="新宋体"/>
        </w:rPr>
        <w:t>联系电话：                              联系电话：</w:t>
      </w:r>
    </w:p>
    <w:p>
      <w:pPr>
        <w:pStyle w:val="11"/>
        <w:spacing w:line="300" w:lineRule="exact"/>
        <w:ind w:firstLine="1470" w:firstLineChars="700"/>
        <w:rPr>
          <w:rFonts w:hint="eastAsia" w:ascii="新宋体" w:hAnsi="新宋体" w:eastAsia="新宋体" w:cs="新宋体"/>
        </w:rPr>
      </w:pPr>
      <w:r>
        <w:rPr>
          <w:rFonts w:hint="eastAsia" w:ascii="新宋体" w:hAnsi="新宋体" w:eastAsia="新宋体" w:cs="新宋体"/>
        </w:rPr>
        <w:t xml:space="preserve">                              开户名称：</w:t>
      </w:r>
    </w:p>
    <w:p>
      <w:pPr>
        <w:pStyle w:val="11"/>
        <w:spacing w:line="300" w:lineRule="exact"/>
        <w:ind w:firstLine="1470" w:firstLineChars="700"/>
        <w:rPr>
          <w:rFonts w:hint="eastAsia" w:ascii="新宋体" w:hAnsi="新宋体" w:eastAsia="新宋体" w:cs="新宋体"/>
        </w:rPr>
      </w:pPr>
      <w:r>
        <w:rPr>
          <w:rFonts w:hint="eastAsia" w:ascii="新宋体" w:hAnsi="新宋体" w:eastAsia="新宋体" w:cs="新宋体"/>
        </w:rPr>
        <w:t xml:space="preserve">                              开户银行：</w:t>
      </w:r>
    </w:p>
    <w:p>
      <w:pPr>
        <w:pStyle w:val="11"/>
        <w:spacing w:line="300" w:lineRule="exact"/>
        <w:ind w:firstLine="1470" w:firstLineChars="700"/>
        <w:rPr>
          <w:rFonts w:hint="eastAsia" w:ascii="新宋体" w:hAnsi="新宋体" w:eastAsia="新宋体" w:cs="新宋体"/>
        </w:rPr>
      </w:pPr>
      <w:r>
        <w:rPr>
          <w:rFonts w:hint="eastAsia" w:ascii="新宋体" w:hAnsi="新宋体" w:eastAsia="新宋体" w:cs="新宋体"/>
        </w:rPr>
        <w:t xml:space="preserve">                              银行帐号：</w:t>
      </w:r>
    </w:p>
    <w:p>
      <w:pPr>
        <w:pStyle w:val="11"/>
        <w:spacing w:line="300" w:lineRule="exact"/>
        <w:ind w:firstLine="420" w:firstLineChars="200"/>
        <w:rPr>
          <w:rFonts w:hint="eastAsia" w:ascii="新宋体" w:hAnsi="新宋体" w:eastAsia="新宋体" w:cs="新宋体"/>
        </w:rPr>
      </w:pPr>
      <w:r>
        <w:rPr>
          <w:rFonts w:hint="eastAsia" w:ascii="新宋体" w:hAnsi="新宋体" w:eastAsia="新宋体" w:cs="新宋体"/>
        </w:rPr>
        <w:t>合同签订时间：</w:t>
      </w:r>
    </w:p>
    <w:p>
      <w:pPr>
        <w:pStyle w:val="11"/>
        <w:ind w:firstLine="420"/>
        <w:rPr>
          <w:rFonts w:hint="eastAsia" w:ascii="新宋体" w:hAnsi="新宋体" w:eastAsia="新宋体" w:cs="新宋体"/>
        </w:rPr>
      </w:pPr>
      <w:r>
        <w:rPr>
          <w:rFonts w:hint="eastAsia" w:ascii="新宋体" w:hAnsi="新宋体" w:eastAsia="新宋体" w:cs="新宋体"/>
        </w:rPr>
        <w:t>合同签订地点：</w:t>
      </w:r>
      <w:r>
        <w:rPr>
          <w:rFonts w:hint="eastAsia" w:ascii="新宋体" w:hAnsi="新宋体" w:eastAsia="新宋体" w:cs="新宋体"/>
          <w:sz w:val="44"/>
        </w:rPr>
        <w:br w:type="page"/>
      </w:r>
    </w:p>
    <w:p>
      <w:pPr>
        <w:pStyle w:val="11"/>
        <w:ind w:firstLine="420"/>
        <w:rPr>
          <w:rFonts w:hint="eastAsia" w:ascii="新宋体" w:hAnsi="新宋体" w:eastAsia="新宋体" w:cs="新宋体"/>
        </w:rPr>
      </w:pPr>
    </w:p>
    <w:p>
      <w:pPr>
        <w:pStyle w:val="3"/>
        <w:bidi w:val="0"/>
        <w:jc w:val="center"/>
        <w:rPr>
          <w:rStyle w:val="37"/>
          <w:rFonts w:hint="eastAsia" w:ascii="新宋体" w:hAnsi="新宋体" w:eastAsia="新宋体" w:cs="新宋体"/>
          <w:b/>
          <w:bCs/>
        </w:rPr>
      </w:pPr>
      <w:bookmarkStart w:id="114" w:name="_Toc340501924"/>
      <w:bookmarkStart w:id="115" w:name="_Toc1560"/>
      <w:bookmarkStart w:id="116" w:name="_Toc10564"/>
      <w:bookmarkStart w:id="117" w:name="_Toc1838"/>
      <w:r>
        <w:rPr>
          <w:rStyle w:val="37"/>
          <w:rFonts w:hint="eastAsia" w:ascii="新宋体" w:hAnsi="新宋体" w:eastAsia="新宋体" w:cs="新宋体"/>
          <w:b/>
          <w:bCs/>
        </w:rPr>
        <w:t>第六章   响应文件格式</w:t>
      </w:r>
      <w:bookmarkEnd w:id="114"/>
      <w:bookmarkEnd w:id="115"/>
      <w:bookmarkEnd w:id="116"/>
      <w:bookmarkEnd w:id="117"/>
    </w:p>
    <w:p>
      <w:pPr>
        <w:pStyle w:val="11"/>
        <w:rPr>
          <w:rFonts w:hint="eastAsia" w:ascii="新宋体" w:hAnsi="新宋体" w:eastAsia="新宋体" w:cs="新宋体"/>
        </w:rPr>
      </w:pPr>
    </w:p>
    <w:p>
      <w:pPr>
        <w:pStyle w:val="17"/>
        <w:ind w:firstLine="1263" w:firstLineChars="100"/>
        <w:rPr>
          <w:rFonts w:hint="eastAsia" w:ascii="新宋体" w:hAnsi="新宋体" w:eastAsia="新宋体" w:cs="新宋体"/>
          <w:sz w:val="144"/>
          <w:szCs w:val="144"/>
        </w:rPr>
      </w:pPr>
      <w:r>
        <w:rPr>
          <w:rFonts w:hint="eastAsia" w:ascii="新宋体" w:hAnsi="新宋体" w:eastAsia="新宋体" w:cs="新宋体"/>
          <w:spacing w:val="211"/>
          <w:w w:val="58"/>
          <w:kern w:val="0"/>
          <w:sz w:val="144"/>
          <w:szCs w:val="144"/>
        </w:rPr>
        <w:t>响应文件</w:t>
      </w:r>
    </w:p>
    <w:p>
      <w:pPr>
        <w:rPr>
          <w:rFonts w:hint="eastAsia" w:ascii="新宋体" w:hAnsi="新宋体" w:eastAsia="新宋体" w:cs="新宋体"/>
        </w:rPr>
      </w:pPr>
    </w:p>
    <w:p>
      <w:pPr>
        <w:bidi w:val="0"/>
        <w:rPr>
          <w:rFonts w:hint="eastAsia" w:ascii="新宋体" w:hAnsi="新宋体" w:eastAsia="新宋体" w:cs="新宋体"/>
        </w:rPr>
      </w:pPr>
      <w:bookmarkStart w:id="118" w:name="_Toc15913"/>
      <w:bookmarkStart w:id="119" w:name="_Toc21694"/>
    </w:p>
    <w:p>
      <w:pPr>
        <w:pStyle w:val="17"/>
        <w:rPr>
          <w:rFonts w:hint="eastAsia" w:ascii="新宋体" w:hAnsi="新宋体" w:eastAsia="新宋体" w:cs="新宋体"/>
          <w:sz w:val="52"/>
          <w:szCs w:val="52"/>
          <w:u w:val="single"/>
        </w:rPr>
      </w:pPr>
      <w:r>
        <w:rPr>
          <w:rFonts w:hint="eastAsia" w:ascii="新宋体" w:hAnsi="新宋体" w:eastAsia="新宋体" w:cs="新宋体"/>
          <w:sz w:val="52"/>
          <w:szCs w:val="52"/>
          <w:u w:val="single"/>
        </w:rPr>
        <w:t>正本或副本</w:t>
      </w:r>
      <w:bookmarkEnd w:id="118"/>
      <w:bookmarkEnd w:id="119"/>
    </w:p>
    <w:p>
      <w:pPr>
        <w:bidi w:val="0"/>
        <w:rPr>
          <w:rFonts w:hint="eastAsia" w:ascii="新宋体" w:hAnsi="新宋体" w:eastAsia="新宋体" w:cs="新宋体"/>
        </w:rPr>
      </w:pPr>
      <w:bookmarkStart w:id="120" w:name="_Toc8040"/>
      <w:bookmarkStart w:id="121" w:name="_Toc18399"/>
    </w:p>
    <w:p>
      <w:pPr>
        <w:bidi w:val="0"/>
        <w:rPr>
          <w:rFonts w:hint="eastAsia" w:ascii="新宋体" w:hAnsi="新宋体" w:eastAsia="新宋体" w:cs="新宋体"/>
        </w:rPr>
      </w:pPr>
    </w:p>
    <w:p>
      <w:pPr>
        <w:pStyle w:val="17"/>
        <w:tabs>
          <w:tab w:val="left" w:pos="2474"/>
        </w:tabs>
        <w:jc w:val="both"/>
        <w:rPr>
          <w:rFonts w:hint="eastAsia" w:ascii="新宋体" w:hAnsi="新宋体" w:eastAsia="新宋体" w:cs="新宋体"/>
          <w:sz w:val="28"/>
          <w:szCs w:val="28"/>
        </w:rPr>
      </w:pPr>
      <w:r>
        <w:rPr>
          <w:rFonts w:hint="eastAsia" w:ascii="新宋体" w:hAnsi="新宋体" w:eastAsia="新宋体" w:cs="新宋体"/>
          <w:sz w:val="28"/>
          <w:szCs w:val="28"/>
        </w:rPr>
        <w:t>项目名称：</w:t>
      </w:r>
      <w:bookmarkEnd w:id="120"/>
      <w:bookmarkEnd w:id="121"/>
    </w:p>
    <w:p>
      <w:pPr>
        <w:rPr>
          <w:rFonts w:hint="eastAsia" w:ascii="新宋体" w:hAnsi="新宋体" w:eastAsia="新宋体" w:cs="新宋体"/>
          <w:b/>
        </w:rPr>
      </w:pPr>
      <w:r>
        <w:rPr>
          <w:rFonts w:hint="eastAsia" w:ascii="新宋体" w:hAnsi="新宋体" w:eastAsia="新宋体" w:cs="新宋体"/>
          <w:b/>
          <w:sz w:val="28"/>
          <w:szCs w:val="28"/>
        </w:rPr>
        <w:t>项目编号：</w:t>
      </w:r>
    </w:p>
    <w:p>
      <w:pPr>
        <w:pStyle w:val="17"/>
        <w:jc w:val="both"/>
        <w:rPr>
          <w:rFonts w:hint="eastAsia" w:ascii="新宋体" w:hAnsi="新宋体" w:eastAsia="新宋体" w:cs="新宋体"/>
          <w:sz w:val="28"/>
          <w:szCs w:val="28"/>
        </w:rPr>
      </w:pPr>
      <w:bookmarkStart w:id="122" w:name="_Toc12338"/>
      <w:bookmarkStart w:id="123" w:name="_Toc16391"/>
      <w:r>
        <w:rPr>
          <w:rFonts w:hint="eastAsia" w:ascii="新宋体" w:hAnsi="新宋体" w:eastAsia="新宋体" w:cs="新宋体"/>
          <w:sz w:val="28"/>
          <w:szCs w:val="28"/>
        </w:rPr>
        <w:t>竞标单位：</w:t>
      </w:r>
      <w:bookmarkEnd w:id="122"/>
      <w:bookmarkEnd w:id="123"/>
    </w:p>
    <w:p>
      <w:pPr>
        <w:pStyle w:val="17"/>
        <w:jc w:val="both"/>
        <w:rPr>
          <w:rFonts w:hint="eastAsia" w:ascii="新宋体" w:hAnsi="新宋体" w:eastAsia="新宋体" w:cs="新宋体"/>
          <w:sz w:val="28"/>
          <w:szCs w:val="28"/>
        </w:rPr>
      </w:pPr>
      <w:bookmarkStart w:id="124" w:name="_Toc28676"/>
      <w:bookmarkStart w:id="125" w:name="_Toc18369"/>
      <w:r>
        <w:rPr>
          <w:rFonts w:hint="eastAsia" w:ascii="新宋体" w:hAnsi="新宋体" w:eastAsia="新宋体" w:cs="新宋体"/>
          <w:sz w:val="28"/>
          <w:szCs w:val="28"/>
        </w:rPr>
        <w:t>报价日期： 年  月  日</w:t>
      </w:r>
      <w:bookmarkEnd w:id="124"/>
      <w:bookmarkEnd w:id="125"/>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rPr>
          <w:rFonts w:hint="eastAsia" w:ascii="新宋体" w:hAnsi="新宋体" w:eastAsia="新宋体" w:cs="新宋体"/>
        </w:rPr>
      </w:pPr>
    </w:p>
    <w:p>
      <w:pPr>
        <w:pStyle w:val="11"/>
        <w:jc w:val="center"/>
        <w:rPr>
          <w:rFonts w:hint="eastAsia" w:ascii="新宋体" w:hAnsi="新宋体" w:eastAsia="新宋体" w:cs="新宋体"/>
          <w:sz w:val="32"/>
        </w:rPr>
      </w:pPr>
      <w:r>
        <w:rPr>
          <w:rFonts w:hint="eastAsia" w:ascii="新宋体" w:hAnsi="新宋体" w:eastAsia="新宋体" w:cs="新宋体"/>
        </w:rPr>
        <w:br w:type="page"/>
      </w:r>
    </w:p>
    <w:p>
      <w:pPr>
        <w:pStyle w:val="11"/>
        <w:jc w:val="center"/>
        <w:rPr>
          <w:rFonts w:hint="eastAsia" w:ascii="新宋体" w:hAnsi="新宋体" w:eastAsia="新宋体" w:cs="新宋体"/>
          <w:b/>
          <w:bCs/>
          <w:sz w:val="32"/>
        </w:rPr>
      </w:pPr>
      <w:r>
        <w:rPr>
          <w:rFonts w:hint="eastAsia" w:ascii="新宋体" w:hAnsi="新宋体" w:eastAsia="新宋体" w:cs="新宋体"/>
          <w:sz w:val="32"/>
        </w:rPr>
        <w:t>一、</w:t>
      </w:r>
      <w:r>
        <w:rPr>
          <w:rFonts w:hint="eastAsia" w:ascii="新宋体" w:hAnsi="新宋体" w:eastAsia="新宋体" w:cs="新宋体"/>
          <w:b/>
          <w:bCs/>
          <w:sz w:val="32"/>
        </w:rPr>
        <w:t>商务部分</w:t>
      </w:r>
    </w:p>
    <w:p>
      <w:pPr>
        <w:pStyle w:val="11"/>
        <w:jc w:val="center"/>
        <w:rPr>
          <w:rFonts w:hint="eastAsia" w:ascii="新宋体" w:hAnsi="新宋体" w:eastAsia="新宋体" w:cs="新宋体"/>
          <w:sz w:val="32"/>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rPr>
      </w:pPr>
    </w:p>
    <w:p>
      <w:pPr>
        <w:pStyle w:val="11"/>
        <w:jc w:val="center"/>
        <w:rPr>
          <w:rFonts w:hint="eastAsia" w:ascii="新宋体" w:hAnsi="新宋体" w:eastAsia="新宋体" w:cs="新宋体"/>
          <w:b/>
          <w:sz w:val="32"/>
        </w:rPr>
      </w:pPr>
      <w:r>
        <w:rPr>
          <w:rFonts w:hint="eastAsia" w:ascii="新宋体" w:hAnsi="新宋体" w:eastAsia="新宋体" w:cs="新宋体"/>
          <w:b/>
          <w:sz w:val="32"/>
        </w:rPr>
        <w:t>1、竞标函格式</w:t>
      </w:r>
    </w:p>
    <w:p>
      <w:pPr>
        <w:pStyle w:val="11"/>
        <w:rPr>
          <w:rFonts w:hint="eastAsia" w:ascii="新宋体" w:hAnsi="新宋体" w:eastAsia="新宋体" w:cs="新宋体"/>
        </w:rPr>
      </w:pPr>
    </w:p>
    <w:p>
      <w:pPr>
        <w:pStyle w:val="11"/>
        <w:spacing w:line="420" w:lineRule="exact"/>
        <w:ind w:firstLine="720" w:firstLineChars="300"/>
        <w:rPr>
          <w:rFonts w:hint="eastAsia" w:ascii="新宋体" w:hAnsi="新宋体" w:eastAsia="新宋体" w:cs="新宋体"/>
          <w:sz w:val="24"/>
          <w:szCs w:val="24"/>
          <w:u w:val="single"/>
        </w:rPr>
      </w:pPr>
      <w:r>
        <w:rPr>
          <w:rFonts w:hint="eastAsia" w:ascii="新宋体" w:hAnsi="新宋体" w:eastAsia="新宋体" w:cs="新宋体"/>
          <w:sz w:val="24"/>
          <w:szCs w:val="24"/>
        </w:rPr>
        <w:t>致：</w:t>
      </w:r>
      <w:r>
        <w:rPr>
          <w:rFonts w:hint="eastAsia" w:ascii="新宋体" w:hAnsi="新宋体" w:eastAsia="新宋体" w:cs="新宋体"/>
          <w:sz w:val="24"/>
          <w:szCs w:val="24"/>
          <w:u w:val="single"/>
        </w:rPr>
        <w:t xml:space="preserve">          (采购人） </w:t>
      </w:r>
    </w:p>
    <w:p>
      <w:pPr>
        <w:pStyle w:val="11"/>
        <w:spacing w:line="280" w:lineRule="exact"/>
        <w:ind w:firstLine="420"/>
        <w:rPr>
          <w:rFonts w:hint="eastAsia" w:ascii="新宋体" w:hAnsi="新宋体" w:eastAsia="新宋体" w:cs="新宋体"/>
          <w:sz w:val="24"/>
          <w:szCs w:val="24"/>
        </w:rPr>
      </w:pPr>
    </w:p>
    <w:p>
      <w:pPr>
        <w:pStyle w:val="11"/>
        <w:spacing w:line="420" w:lineRule="exact"/>
        <w:ind w:left="210" w:leftChars="100" w:firstLine="480" w:firstLineChars="200"/>
        <w:rPr>
          <w:rFonts w:hint="eastAsia" w:ascii="新宋体" w:hAnsi="新宋体" w:eastAsia="新宋体" w:cs="新宋体"/>
          <w:sz w:val="24"/>
          <w:szCs w:val="24"/>
        </w:rPr>
      </w:pPr>
      <w:r>
        <w:rPr>
          <w:rFonts w:hint="eastAsia" w:ascii="新宋体" w:hAnsi="新宋体" w:eastAsia="新宋体" w:cs="新宋体"/>
          <w:bCs/>
          <w:sz w:val="24"/>
          <w:szCs w:val="24"/>
        </w:rPr>
        <w:t xml:space="preserve">根据贵方项目谈判采购文件，竞标项目编号，正式授权下述签字人（姓名和职务）代表竞标人 </w:t>
      </w:r>
      <w:r>
        <w:rPr>
          <w:rFonts w:hint="eastAsia" w:ascii="新宋体" w:hAnsi="新宋体" w:eastAsia="新宋体" w:cs="新宋体"/>
          <w:sz w:val="24"/>
          <w:szCs w:val="24"/>
          <w:u w:val="single"/>
        </w:rPr>
        <w:t xml:space="preserve">                            （</w:t>
      </w:r>
      <w:r>
        <w:rPr>
          <w:rFonts w:hint="eastAsia" w:ascii="新宋体" w:hAnsi="新宋体" w:eastAsia="新宋体" w:cs="新宋体"/>
          <w:sz w:val="24"/>
          <w:szCs w:val="24"/>
        </w:rPr>
        <w:t>竞标单位名称），提交响应文件正本一份，副本三份。</w:t>
      </w:r>
    </w:p>
    <w:p>
      <w:pPr>
        <w:pStyle w:val="11"/>
        <w:spacing w:line="32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一、竞标报价表；</w:t>
      </w:r>
    </w:p>
    <w:p>
      <w:pPr>
        <w:pStyle w:val="11"/>
        <w:spacing w:line="32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二、技术文件；</w:t>
      </w:r>
    </w:p>
    <w:p>
      <w:pPr>
        <w:pStyle w:val="11"/>
        <w:spacing w:line="32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三、技术规格偏离表；</w:t>
      </w:r>
    </w:p>
    <w:p>
      <w:pPr>
        <w:pStyle w:val="11"/>
        <w:spacing w:line="32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四、竞标人资格证明文件；</w:t>
      </w:r>
    </w:p>
    <w:p>
      <w:pPr>
        <w:pStyle w:val="11"/>
        <w:spacing w:line="32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五、货物合格性文件；</w:t>
      </w:r>
    </w:p>
    <w:p>
      <w:pPr>
        <w:pStyle w:val="11"/>
        <w:spacing w:line="32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六、竞标保证金。</w:t>
      </w:r>
    </w:p>
    <w:p>
      <w:pPr>
        <w:pStyle w:val="11"/>
        <w:spacing w:line="360" w:lineRule="exact"/>
        <w:ind w:firstLine="480" w:firstLineChars="200"/>
        <w:rPr>
          <w:rFonts w:hint="eastAsia" w:ascii="新宋体" w:hAnsi="新宋体" w:eastAsia="新宋体" w:cs="新宋体"/>
          <w:sz w:val="24"/>
          <w:szCs w:val="24"/>
        </w:rPr>
      </w:pPr>
      <w:r>
        <w:rPr>
          <w:rFonts w:hint="eastAsia" w:ascii="新宋体" w:hAnsi="新宋体" w:eastAsia="新宋体" w:cs="新宋体"/>
          <w:sz w:val="24"/>
          <w:szCs w:val="24"/>
        </w:rPr>
        <w:t>据此函，签字人兹宣布同意如下：</w:t>
      </w:r>
    </w:p>
    <w:p>
      <w:pPr>
        <w:pStyle w:val="11"/>
        <w:spacing w:line="360" w:lineRule="exact"/>
        <w:ind w:left="2820" w:leftChars="200" w:hanging="2400" w:hangingChars="1000"/>
        <w:rPr>
          <w:rFonts w:hint="eastAsia" w:ascii="新宋体" w:hAnsi="新宋体" w:eastAsia="新宋体" w:cs="新宋体"/>
          <w:sz w:val="24"/>
          <w:szCs w:val="24"/>
        </w:rPr>
      </w:pPr>
      <w:r>
        <w:rPr>
          <w:rFonts w:hint="eastAsia" w:ascii="新宋体" w:hAnsi="新宋体" w:eastAsia="新宋体" w:cs="新宋体"/>
          <w:sz w:val="24"/>
          <w:szCs w:val="24"/>
        </w:rPr>
        <w:t>⑴按谈判采购文件货物需求一览表和竞标报价表，竞标总报价为人民币</w:t>
      </w:r>
    </w:p>
    <w:p>
      <w:pPr>
        <w:pStyle w:val="11"/>
        <w:spacing w:line="360" w:lineRule="exact"/>
        <w:ind w:left="2820" w:leftChars="200" w:hanging="2400" w:hangingChars="1000"/>
        <w:rPr>
          <w:rFonts w:hint="eastAsia" w:ascii="新宋体" w:hAnsi="新宋体" w:eastAsia="新宋体" w:cs="新宋体"/>
          <w:sz w:val="24"/>
          <w:szCs w:val="24"/>
        </w:rPr>
      </w:pPr>
      <w:r>
        <w:rPr>
          <w:rFonts w:hint="eastAsia" w:ascii="新宋体" w:hAnsi="新宋体" w:eastAsia="新宋体" w:cs="新宋体"/>
          <w:sz w:val="24"/>
          <w:szCs w:val="24"/>
        </w:rPr>
        <w:t>（大写）：(￥：</w:t>
      </w:r>
      <w:r>
        <w:rPr>
          <w:rFonts w:hint="eastAsia" w:ascii="新宋体" w:hAnsi="新宋体" w:eastAsia="新宋体" w:cs="新宋体"/>
          <w:sz w:val="24"/>
          <w:szCs w:val="24"/>
          <w:u w:val="single"/>
        </w:rPr>
        <w:t xml:space="preserve">       元</w:t>
      </w:r>
      <w:r>
        <w:rPr>
          <w:rFonts w:hint="eastAsia" w:ascii="新宋体" w:hAnsi="新宋体" w:eastAsia="新宋体" w:cs="新宋体"/>
          <w:sz w:val="24"/>
          <w:szCs w:val="24"/>
        </w:rPr>
        <w:t xml:space="preserve"> )，交货日期：________。</w:t>
      </w:r>
    </w:p>
    <w:p>
      <w:pPr>
        <w:pStyle w:val="11"/>
        <w:spacing w:line="36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⑵我们根据竞争性谈判采购文件的规定，承担完成合同的责任和义务。</w:t>
      </w:r>
    </w:p>
    <w:p>
      <w:pPr>
        <w:pStyle w:val="11"/>
        <w:spacing w:line="36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⑶我们已详细审查全部竞争性谈判采购文件，包括修改文件（如有的话）和有关附件，将自行承担因对全部竞争性谈判采购文件理解不正确或误解而产生的相应后果。</w:t>
      </w:r>
    </w:p>
    <w:p>
      <w:pPr>
        <w:pStyle w:val="11"/>
        <w:spacing w:line="36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⑷我们同意在竞标人须知规定的自</w:t>
      </w:r>
      <w:r>
        <w:rPr>
          <w:rFonts w:hint="eastAsia" w:ascii="新宋体" w:hAnsi="新宋体" w:eastAsia="新宋体" w:cs="新宋体"/>
          <w:color w:val="000000" w:themeColor="text1"/>
          <w:sz w:val="24"/>
          <w:szCs w:val="24"/>
        </w:rPr>
        <w:t>递交响应文件截止时间之日</w:t>
      </w:r>
      <w:r>
        <w:rPr>
          <w:rFonts w:hint="eastAsia" w:ascii="新宋体" w:hAnsi="新宋体" w:eastAsia="新宋体" w:cs="新宋体"/>
          <w:sz w:val="24"/>
          <w:szCs w:val="24"/>
        </w:rPr>
        <w:t>起遵循本响应文件，并在竞标人须知第14条规定的竞标有效期满之前均具有约束力，并有可能中标。</w:t>
      </w:r>
    </w:p>
    <w:p>
      <w:pPr>
        <w:pStyle w:val="11"/>
        <w:spacing w:line="36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⑸如果在竞标截止时间后的竞标有效期内撤回投标或者有其他违约行为，我们的竞标保证金可被贵方全部没收。</w:t>
      </w:r>
    </w:p>
    <w:p>
      <w:pPr>
        <w:pStyle w:val="11"/>
        <w:spacing w:line="36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⑹我们同意提供按照采购单位可能要求的与本竞标有关的一切数据或资料，完全理解贵方不一定要接受最低的报价或收到的任何投标。</w:t>
      </w:r>
    </w:p>
    <w:p>
      <w:pPr>
        <w:pStyle w:val="11"/>
        <w:spacing w:line="40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与本竞标有关的正式通讯地址为：</w:t>
      </w:r>
    </w:p>
    <w:p>
      <w:pPr>
        <w:pStyle w:val="11"/>
        <w:spacing w:line="40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地址： 邮政编码：</w:t>
      </w:r>
    </w:p>
    <w:p>
      <w:pPr>
        <w:pStyle w:val="11"/>
        <w:spacing w:line="400" w:lineRule="exact"/>
        <w:ind w:firstLine="420"/>
        <w:rPr>
          <w:rFonts w:hint="eastAsia" w:ascii="新宋体" w:hAnsi="新宋体" w:eastAsia="新宋体" w:cs="新宋体"/>
          <w:sz w:val="24"/>
          <w:szCs w:val="24"/>
          <w:u w:val="single"/>
        </w:rPr>
      </w:pPr>
      <w:r>
        <w:rPr>
          <w:rFonts w:hint="eastAsia" w:ascii="新宋体" w:hAnsi="新宋体" w:eastAsia="新宋体" w:cs="新宋体"/>
          <w:sz w:val="24"/>
          <w:szCs w:val="24"/>
        </w:rPr>
        <w:t>电话、电报、传真或电传：</w:t>
      </w:r>
    </w:p>
    <w:p>
      <w:pPr>
        <w:pStyle w:val="11"/>
        <w:spacing w:line="400" w:lineRule="exact"/>
        <w:ind w:firstLine="420"/>
        <w:rPr>
          <w:rFonts w:hint="eastAsia" w:ascii="新宋体" w:hAnsi="新宋体" w:eastAsia="新宋体" w:cs="新宋体"/>
          <w:sz w:val="24"/>
          <w:szCs w:val="24"/>
          <w:u w:val="single"/>
        </w:rPr>
      </w:pPr>
      <w:r>
        <w:rPr>
          <w:rFonts w:hint="eastAsia" w:ascii="新宋体" w:hAnsi="新宋体" w:eastAsia="新宋体" w:cs="新宋体"/>
          <w:sz w:val="24"/>
          <w:szCs w:val="24"/>
        </w:rPr>
        <w:t>开户名称：</w:t>
      </w:r>
    </w:p>
    <w:p>
      <w:pPr>
        <w:pStyle w:val="11"/>
        <w:spacing w:line="400" w:lineRule="exact"/>
        <w:ind w:firstLine="420"/>
        <w:rPr>
          <w:rFonts w:hint="eastAsia" w:ascii="新宋体" w:hAnsi="新宋体" w:eastAsia="新宋体" w:cs="新宋体"/>
          <w:sz w:val="24"/>
          <w:szCs w:val="24"/>
          <w:u w:val="single"/>
        </w:rPr>
      </w:pPr>
      <w:r>
        <w:rPr>
          <w:rFonts w:hint="eastAsia" w:ascii="新宋体" w:hAnsi="新宋体" w:eastAsia="新宋体" w:cs="新宋体"/>
          <w:sz w:val="24"/>
          <w:szCs w:val="24"/>
        </w:rPr>
        <w:t>开户银行：</w:t>
      </w:r>
    </w:p>
    <w:p>
      <w:pPr>
        <w:pStyle w:val="11"/>
        <w:spacing w:line="400" w:lineRule="exact"/>
        <w:ind w:firstLine="420"/>
        <w:rPr>
          <w:rFonts w:hint="eastAsia" w:ascii="新宋体" w:hAnsi="新宋体" w:eastAsia="新宋体" w:cs="新宋体"/>
          <w:sz w:val="24"/>
          <w:szCs w:val="24"/>
          <w:u w:val="single"/>
        </w:rPr>
      </w:pPr>
      <w:r>
        <w:rPr>
          <w:rFonts w:hint="eastAsia" w:ascii="新宋体" w:hAnsi="新宋体" w:eastAsia="新宋体" w:cs="新宋体"/>
          <w:sz w:val="24"/>
          <w:szCs w:val="24"/>
        </w:rPr>
        <w:t>账号：</w:t>
      </w:r>
    </w:p>
    <w:p>
      <w:pPr>
        <w:pStyle w:val="11"/>
        <w:spacing w:line="40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法定代表人（负责人）或委托代理人签名：</w:t>
      </w:r>
    </w:p>
    <w:p>
      <w:pPr>
        <w:pStyle w:val="11"/>
        <w:spacing w:line="40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竞标人盖公章：</w:t>
      </w:r>
    </w:p>
    <w:p>
      <w:pPr>
        <w:pStyle w:val="11"/>
        <w:spacing w:line="400" w:lineRule="exact"/>
        <w:ind w:firstLine="420"/>
        <w:rPr>
          <w:rFonts w:hint="eastAsia" w:ascii="新宋体" w:hAnsi="新宋体" w:eastAsia="新宋体" w:cs="新宋体"/>
          <w:sz w:val="24"/>
          <w:szCs w:val="24"/>
        </w:rPr>
      </w:pPr>
      <w:r>
        <w:rPr>
          <w:rFonts w:hint="eastAsia" w:ascii="新宋体" w:hAnsi="新宋体" w:eastAsia="新宋体" w:cs="新宋体"/>
          <w:sz w:val="24"/>
          <w:szCs w:val="24"/>
        </w:rPr>
        <w:t>日期：</w:t>
      </w:r>
    </w:p>
    <w:p>
      <w:pPr>
        <w:spacing w:line="540" w:lineRule="exact"/>
        <w:jc w:val="center"/>
        <w:rPr>
          <w:rFonts w:hint="eastAsia" w:ascii="新宋体" w:hAnsi="新宋体" w:eastAsia="新宋体" w:cs="新宋体"/>
          <w:bCs/>
          <w:color w:val="FF0000"/>
          <w:szCs w:val="21"/>
        </w:rPr>
      </w:pPr>
      <w:r>
        <w:rPr>
          <w:rFonts w:hint="eastAsia" w:ascii="新宋体" w:hAnsi="新宋体" w:eastAsia="新宋体" w:cs="新宋体"/>
          <w:b/>
          <w:bCs/>
          <w:color w:val="FF0000"/>
          <w:sz w:val="30"/>
        </w:rPr>
        <w:t>2、竞标报价表格式</w:t>
      </w:r>
    </w:p>
    <w:p>
      <w:pPr>
        <w:pStyle w:val="11"/>
        <w:rPr>
          <w:rFonts w:hint="eastAsia" w:ascii="新宋体" w:hAnsi="新宋体" w:eastAsia="新宋体" w:cs="新宋体"/>
        </w:rPr>
      </w:pPr>
    </w:p>
    <w:tbl>
      <w:tblPr>
        <w:tblStyle w:val="22"/>
        <w:tblW w:w="9195" w:type="dxa"/>
        <w:tblInd w:w="-6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956"/>
        <w:gridCol w:w="2612"/>
        <w:gridCol w:w="820"/>
        <w:gridCol w:w="1066"/>
        <w:gridCol w:w="1004"/>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tblHeader/>
        </w:trPr>
        <w:tc>
          <w:tcPr>
            <w:tcW w:w="702" w:type="dxa"/>
            <w:vAlign w:val="center"/>
          </w:tcPr>
          <w:p>
            <w:pPr>
              <w:widowControl/>
              <w:jc w:val="center"/>
              <w:rPr>
                <w:rFonts w:hint="eastAsia" w:ascii="新宋体" w:hAnsi="新宋体" w:eastAsia="新宋体" w:cs="新宋体"/>
                <w:b/>
                <w:kern w:val="0"/>
                <w:sz w:val="28"/>
                <w:szCs w:val="28"/>
              </w:rPr>
            </w:pPr>
            <w:r>
              <w:rPr>
                <w:rFonts w:hint="eastAsia" w:ascii="新宋体" w:hAnsi="新宋体" w:eastAsia="新宋体" w:cs="新宋体"/>
                <w:b/>
                <w:kern w:val="0"/>
                <w:sz w:val="28"/>
                <w:szCs w:val="28"/>
              </w:rPr>
              <w:t>序号</w:t>
            </w:r>
          </w:p>
        </w:tc>
        <w:tc>
          <w:tcPr>
            <w:tcW w:w="1956" w:type="dxa"/>
            <w:vAlign w:val="center"/>
          </w:tcPr>
          <w:p>
            <w:pPr>
              <w:widowControl/>
              <w:spacing w:line="240" w:lineRule="auto"/>
              <w:jc w:val="center"/>
              <w:rPr>
                <w:rFonts w:hint="eastAsia" w:ascii="新宋体" w:hAnsi="新宋体" w:eastAsia="新宋体" w:cs="新宋体"/>
                <w:b/>
                <w:bCs/>
                <w:sz w:val="28"/>
                <w:szCs w:val="28"/>
                <w:lang w:val="en-US" w:eastAsia="zh-CN"/>
              </w:rPr>
            </w:pPr>
            <w:r>
              <w:rPr>
                <w:rFonts w:hint="eastAsia" w:ascii="新宋体" w:hAnsi="新宋体" w:eastAsia="新宋体" w:cs="新宋体"/>
                <w:b/>
                <w:bCs/>
                <w:kern w:val="0"/>
                <w:sz w:val="28"/>
                <w:szCs w:val="28"/>
              </w:rPr>
              <w:t>产品名称/品牌/厂家</w:t>
            </w:r>
          </w:p>
        </w:tc>
        <w:tc>
          <w:tcPr>
            <w:tcW w:w="2612" w:type="dxa"/>
            <w:vAlign w:val="center"/>
          </w:tcPr>
          <w:p>
            <w:pPr>
              <w:widowControl/>
              <w:jc w:val="center"/>
              <w:rPr>
                <w:rFonts w:hint="eastAsia" w:ascii="新宋体" w:hAnsi="新宋体" w:eastAsia="新宋体" w:cs="新宋体"/>
                <w:b/>
                <w:bCs/>
                <w:sz w:val="28"/>
                <w:szCs w:val="28"/>
              </w:rPr>
            </w:pPr>
            <w:r>
              <w:rPr>
                <w:rFonts w:hint="eastAsia" w:ascii="新宋体" w:hAnsi="新宋体" w:eastAsia="新宋体" w:cs="新宋体"/>
                <w:b/>
                <w:bCs/>
                <w:sz w:val="28"/>
                <w:szCs w:val="28"/>
              </w:rPr>
              <w:t>规格</w:t>
            </w:r>
            <w:r>
              <w:rPr>
                <w:rFonts w:hint="eastAsia" w:ascii="新宋体" w:hAnsi="新宋体" w:eastAsia="新宋体" w:cs="新宋体"/>
                <w:b/>
                <w:bCs/>
                <w:sz w:val="28"/>
                <w:szCs w:val="28"/>
                <w:lang w:eastAsia="zh-CN"/>
              </w:rPr>
              <w:t>参数</w:t>
            </w:r>
          </w:p>
        </w:tc>
        <w:tc>
          <w:tcPr>
            <w:tcW w:w="820" w:type="dxa"/>
            <w:vAlign w:val="center"/>
          </w:tcPr>
          <w:p>
            <w:pPr>
              <w:widowControl/>
              <w:jc w:val="center"/>
              <w:rPr>
                <w:rFonts w:hint="eastAsia" w:ascii="新宋体" w:hAnsi="新宋体" w:eastAsia="新宋体" w:cs="新宋体"/>
                <w:b/>
                <w:bCs/>
                <w:kern w:val="0"/>
                <w:sz w:val="28"/>
                <w:szCs w:val="28"/>
              </w:rPr>
            </w:pPr>
            <w:r>
              <w:rPr>
                <w:rFonts w:hint="eastAsia" w:ascii="新宋体" w:hAnsi="新宋体" w:eastAsia="新宋体" w:cs="新宋体"/>
                <w:b/>
                <w:bCs/>
                <w:kern w:val="0"/>
                <w:sz w:val="28"/>
                <w:szCs w:val="28"/>
              </w:rPr>
              <w:t>单位</w:t>
            </w:r>
          </w:p>
        </w:tc>
        <w:tc>
          <w:tcPr>
            <w:tcW w:w="1066" w:type="dxa"/>
            <w:vAlign w:val="center"/>
          </w:tcPr>
          <w:p>
            <w:pPr>
              <w:widowControl/>
              <w:jc w:val="center"/>
              <w:rPr>
                <w:rFonts w:hint="eastAsia" w:ascii="新宋体" w:hAnsi="新宋体" w:eastAsia="新宋体" w:cs="新宋体"/>
                <w:b/>
                <w:bCs/>
                <w:kern w:val="0"/>
                <w:sz w:val="28"/>
                <w:szCs w:val="28"/>
              </w:rPr>
            </w:pPr>
            <w:r>
              <w:rPr>
                <w:rFonts w:hint="eastAsia" w:ascii="新宋体" w:hAnsi="新宋体" w:eastAsia="新宋体" w:cs="新宋体"/>
                <w:b/>
                <w:bCs/>
                <w:sz w:val="28"/>
                <w:szCs w:val="28"/>
              </w:rPr>
              <w:t>数量</w:t>
            </w:r>
          </w:p>
        </w:tc>
        <w:tc>
          <w:tcPr>
            <w:tcW w:w="1004" w:type="dxa"/>
            <w:vAlign w:val="center"/>
          </w:tcPr>
          <w:p>
            <w:pPr>
              <w:adjustRightInd w:val="0"/>
              <w:jc w:val="center"/>
              <w:rPr>
                <w:rFonts w:hint="eastAsia" w:ascii="新宋体" w:hAnsi="新宋体" w:eastAsia="新宋体" w:cs="新宋体"/>
                <w:b/>
                <w:bCs/>
                <w:sz w:val="28"/>
                <w:szCs w:val="28"/>
              </w:rPr>
            </w:pPr>
            <w:r>
              <w:rPr>
                <w:rFonts w:hint="eastAsia" w:ascii="新宋体" w:hAnsi="新宋体" w:eastAsia="新宋体" w:cs="新宋体"/>
                <w:b/>
                <w:bCs/>
                <w:kern w:val="0"/>
                <w:sz w:val="28"/>
                <w:szCs w:val="28"/>
              </w:rPr>
              <w:t>单价</w:t>
            </w:r>
          </w:p>
        </w:tc>
        <w:tc>
          <w:tcPr>
            <w:tcW w:w="1035" w:type="dxa"/>
            <w:vAlign w:val="center"/>
          </w:tcPr>
          <w:p>
            <w:pPr>
              <w:adjustRightInd w:val="0"/>
              <w:jc w:val="center"/>
              <w:rPr>
                <w:rFonts w:hint="eastAsia" w:ascii="新宋体" w:hAnsi="新宋体" w:eastAsia="新宋体" w:cs="新宋体"/>
                <w:b/>
                <w:bCs/>
                <w:sz w:val="28"/>
                <w:szCs w:val="28"/>
              </w:rPr>
            </w:pPr>
            <w:r>
              <w:rPr>
                <w:rFonts w:hint="eastAsia" w:ascii="新宋体" w:hAnsi="新宋体" w:eastAsia="新宋体" w:cs="新宋体"/>
                <w:b/>
                <w:bCs/>
                <w:sz w:val="28"/>
                <w:szCs w:val="28"/>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blHeader/>
        </w:trPr>
        <w:tc>
          <w:tcPr>
            <w:tcW w:w="702" w:type="dxa"/>
            <w:vAlign w:val="center"/>
          </w:tcPr>
          <w:p>
            <w:pPr>
              <w:widowControl/>
              <w:jc w:val="center"/>
              <w:rPr>
                <w:rFonts w:hint="eastAsia" w:ascii="新宋体" w:hAnsi="新宋体" w:eastAsia="新宋体" w:cs="新宋体"/>
                <w:b/>
                <w:kern w:val="0"/>
                <w:sz w:val="28"/>
                <w:szCs w:val="28"/>
              </w:rPr>
            </w:pPr>
            <w:r>
              <w:rPr>
                <w:rFonts w:hint="eastAsia" w:ascii="新宋体" w:hAnsi="新宋体" w:eastAsia="新宋体" w:cs="新宋体"/>
                <w:b/>
                <w:kern w:val="0"/>
                <w:sz w:val="28"/>
                <w:szCs w:val="28"/>
              </w:rPr>
              <w:t>1</w:t>
            </w:r>
          </w:p>
        </w:tc>
        <w:tc>
          <w:tcPr>
            <w:tcW w:w="1956" w:type="dxa"/>
            <w:vAlign w:val="center"/>
          </w:tcPr>
          <w:p>
            <w:pPr>
              <w:widowControl/>
              <w:jc w:val="center"/>
              <w:rPr>
                <w:rFonts w:hint="eastAsia" w:ascii="新宋体" w:hAnsi="新宋体" w:eastAsia="新宋体" w:cs="新宋体"/>
                <w:b/>
                <w:bCs/>
                <w:sz w:val="28"/>
                <w:szCs w:val="28"/>
              </w:rPr>
            </w:pPr>
          </w:p>
        </w:tc>
        <w:tc>
          <w:tcPr>
            <w:tcW w:w="2612" w:type="dxa"/>
            <w:vAlign w:val="center"/>
          </w:tcPr>
          <w:p>
            <w:pPr>
              <w:widowControl/>
              <w:jc w:val="center"/>
              <w:rPr>
                <w:rFonts w:hint="eastAsia" w:ascii="新宋体" w:hAnsi="新宋体" w:eastAsia="新宋体" w:cs="新宋体"/>
                <w:b/>
                <w:bCs/>
                <w:sz w:val="28"/>
                <w:szCs w:val="28"/>
              </w:rPr>
            </w:pPr>
          </w:p>
        </w:tc>
        <w:tc>
          <w:tcPr>
            <w:tcW w:w="820" w:type="dxa"/>
            <w:vAlign w:val="center"/>
          </w:tcPr>
          <w:p>
            <w:pPr>
              <w:widowControl/>
              <w:jc w:val="center"/>
              <w:rPr>
                <w:rFonts w:hint="eastAsia" w:ascii="新宋体" w:hAnsi="新宋体" w:eastAsia="新宋体" w:cs="新宋体"/>
                <w:b/>
                <w:bCs/>
                <w:kern w:val="0"/>
                <w:sz w:val="28"/>
                <w:szCs w:val="28"/>
              </w:rPr>
            </w:pPr>
          </w:p>
        </w:tc>
        <w:tc>
          <w:tcPr>
            <w:tcW w:w="1066" w:type="dxa"/>
            <w:vAlign w:val="center"/>
          </w:tcPr>
          <w:p>
            <w:pPr>
              <w:widowControl/>
              <w:jc w:val="center"/>
              <w:rPr>
                <w:rFonts w:hint="eastAsia" w:ascii="新宋体" w:hAnsi="新宋体" w:eastAsia="新宋体" w:cs="新宋体"/>
                <w:b/>
                <w:bCs/>
                <w:kern w:val="0"/>
                <w:sz w:val="28"/>
                <w:szCs w:val="28"/>
              </w:rPr>
            </w:pPr>
          </w:p>
        </w:tc>
        <w:tc>
          <w:tcPr>
            <w:tcW w:w="1004" w:type="dxa"/>
            <w:vAlign w:val="center"/>
          </w:tcPr>
          <w:p>
            <w:pPr>
              <w:adjustRightInd w:val="0"/>
              <w:jc w:val="center"/>
              <w:rPr>
                <w:rFonts w:hint="eastAsia" w:ascii="新宋体" w:hAnsi="新宋体" w:eastAsia="新宋体" w:cs="新宋体"/>
                <w:b/>
                <w:bCs/>
                <w:sz w:val="28"/>
                <w:szCs w:val="28"/>
              </w:rPr>
            </w:pPr>
          </w:p>
        </w:tc>
        <w:tc>
          <w:tcPr>
            <w:tcW w:w="1035" w:type="dxa"/>
            <w:vAlign w:val="center"/>
          </w:tcPr>
          <w:p>
            <w:pPr>
              <w:adjustRightInd w:val="0"/>
              <w:jc w:val="center"/>
              <w:rPr>
                <w:rFonts w:hint="eastAsia" w:ascii="新宋体" w:hAnsi="新宋体" w:eastAsia="新宋体" w:cs="新宋体"/>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blHeader/>
        </w:trPr>
        <w:tc>
          <w:tcPr>
            <w:tcW w:w="702" w:type="dxa"/>
            <w:vAlign w:val="center"/>
          </w:tcPr>
          <w:p>
            <w:pPr>
              <w:widowControl/>
              <w:jc w:val="center"/>
              <w:rPr>
                <w:rFonts w:hint="eastAsia" w:ascii="新宋体" w:hAnsi="新宋体" w:eastAsia="新宋体" w:cs="新宋体"/>
                <w:b/>
                <w:kern w:val="0"/>
                <w:sz w:val="28"/>
                <w:szCs w:val="28"/>
              </w:rPr>
            </w:pPr>
            <w:r>
              <w:rPr>
                <w:rFonts w:hint="eastAsia" w:ascii="新宋体" w:hAnsi="新宋体" w:eastAsia="新宋体" w:cs="新宋体"/>
                <w:b/>
                <w:kern w:val="0"/>
                <w:sz w:val="28"/>
                <w:szCs w:val="28"/>
              </w:rPr>
              <w:t>2</w:t>
            </w:r>
          </w:p>
        </w:tc>
        <w:tc>
          <w:tcPr>
            <w:tcW w:w="1956" w:type="dxa"/>
            <w:vAlign w:val="center"/>
          </w:tcPr>
          <w:p>
            <w:pPr>
              <w:widowControl/>
              <w:jc w:val="center"/>
              <w:rPr>
                <w:rFonts w:hint="eastAsia" w:ascii="新宋体" w:hAnsi="新宋体" w:eastAsia="新宋体" w:cs="新宋体"/>
                <w:b/>
                <w:bCs/>
                <w:sz w:val="28"/>
                <w:szCs w:val="28"/>
              </w:rPr>
            </w:pPr>
          </w:p>
        </w:tc>
        <w:tc>
          <w:tcPr>
            <w:tcW w:w="2612" w:type="dxa"/>
            <w:vAlign w:val="center"/>
          </w:tcPr>
          <w:p>
            <w:pPr>
              <w:widowControl/>
              <w:jc w:val="center"/>
              <w:rPr>
                <w:rFonts w:hint="eastAsia" w:ascii="新宋体" w:hAnsi="新宋体" w:eastAsia="新宋体" w:cs="新宋体"/>
                <w:b/>
                <w:bCs/>
                <w:sz w:val="28"/>
                <w:szCs w:val="28"/>
              </w:rPr>
            </w:pPr>
          </w:p>
        </w:tc>
        <w:tc>
          <w:tcPr>
            <w:tcW w:w="820" w:type="dxa"/>
            <w:vAlign w:val="center"/>
          </w:tcPr>
          <w:p>
            <w:pPr>
              <w:widowControl/>
              <w:jc w:val="center"/>
              <w:rPr>
                <w:rFonts w:hint="eastAsia" w:ascii="新宋体" w:hAnsi="新宋体" w:eastAsia="新宋体" w:cs="新宋体"/>
                <w:b/>
                <w:bCs/>
                <w:kern w:val="0"/>
                <w:sz w:val="28"/>
                <w:szCs w:val="28"/>
              </w:rPr>
            </w:pPr>
          </w:p>
        </w:tc>
        <w:tc>
          <w:tcPr>
            <w:tcW w:w="1066" w:type="dxa"/>
            <w:vAlign w:val="center"/>
          </w:tcPr>
          <w:p>
            <w:pPr>
              <w:widowControl/>
              <w:jc w:val="center"/>
              <w:rPr>
                <w:rFonts w:hint="eastAsia" w:ascii="新宋体" w:hAnsi="新宋体" w:eastAsia="新宋体" w:cs="新宋体"/>
                <w:b/>
                <w:bCs/>
                <w:kern w:val="0"/>
                <w:sz w:val="28"/>
                <w:szCs w:val="28"/>
              </w:rPr>
            </w:pPr>
          </w:p>
        </w:tc>
        <w:tc>
          <w:tcPr>
            <w:tcW w:w="1004" w:type="dxa"/>
            <w:vAlign w:val="center"/>
          </w:tcPr>
          <w:p>
            <w:pPr>
              <w:adjustRightInd w:val="0"/>
              <w:jc w:val="center"/>
              <w:rPr>
                <w:rFonts w:hint="eastAsia" w:ascii="新宋体" w:hAnsi="新宋体" w:eastAsia="新宋体" w:cs="新宋体"/>
                <w:b/>
                <w:bCs/>
                <w:sz w:val="28"/>
                <w:szCs w:val="28"/>
              </w:rPr>
            </w:pPr>
          </w:p>
        </w:tc>
        <w:tc>
          <w:tcPr>
            <w:tcW w:w="1035" w:type="dxa"/>
            <w:vAlign w:val="center"/>
          </w:tcPr>
          <w:p>
            <w:pPr>
              <w:adjustRightInd w:val="0"/>
              <w:jc w:val="center"/>
              <w:rPr>
                <w:rFonts w:hint="eastAsia" w:ascii="新宋体" w:hAnsi="新宋体" w:eastAsia="新宋体" w:cs="新宋体"/>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blHeader/>
        </w:trPr>
        <w:tc>
          <w:tcPr>
            <w:tcW w:w="702" w:type="dxa"/>
            <w:vAlign w:val="center"/>
          </w:tcPr>
          <w:p>
            <w:pPr>
              <w:widowControl/>
              <w:jc w:val="center"/>
              <w:rPr>
                <w:rFonts w:hint="eastAsia" w:ascii="新宋体" w:hAnsi="新宋体" w:eastAsia="新宋体" w:cs="新宋体"/>
                <w:b/>
                <w:kern w:val="0"/>
                <w:sz w:val="28"/>
                <w:szCs w:val="28"/>
              </w:rPr>
            </w:pPr>
            <w:r>
              <w:rPr>
                <w:rFonts w:hint="eastAsia" w:ascii="新宋体" w:hAnsi="新宋体" w:eastAsia="新宋体" w:cs="新宋体"/>
                <w:b/>
                <w:kern w:val="0"/>
                <w:sz w:val="28"/>
                <w:szCs w:val="28"/>
              </w:rPr>
              <w:t>3</w:t>
            </w:r>
          </w:p>
        </w:tc>
        <w:tc>
          <w:tcPr>
            <w:tcW w:w="1956" w:type="dxa"/>
            <w:vAlign w:val="center"/>
          </w:tcPr>
          <w:p>
            <w:pPr>
              <w:widowControl/>
              <w:jc w:val="center"/>
              <w:rPr>
                <w:rFonts w:hint="eastAsia" w:ascii="新宋体" w:hAnsi="新宋体" w:eastAsia="新宋体" w:cs="新宋体"/>
                <w:b/>
                <w:bCs/>
                <w:sz w:val="28"/>
                <w:szCs w:val="28"/>
              </w:rPr>
            </w:pPr>
          </w:p>
        </w:tc>
        <w:tc>
          <w:tcPr>
            <w:tcW w:w="2612" w:type="dxa"/>
            <w:vAlign w:val="center"/>
          </w:tcPr>
          <w:p>
            <w:pPr>
              <w:widowControl/>
              <w:jc w:val="center"/>
              <w:rPr>
                <w:rFonts w:hint="eastAsia" w:ascii="新宋体" w:hAnsi="新宋体" w:eastAsia="新宋体" w:cs="新宋体"/>
                <w:b/>
                <w:bCs/>
                <w:sz w:val="28"/>
                <w:szCs w:val="28"/>
              </w:rPr>
            </w:pPr>
          </w:p>
        </w:tc>
        <w:tc>
          <w:tcPr>
            <w:tcW w:w="820" w:type="dxa"/>
            <w:vAlign w:val="center"/>
          </w:tcPr>
          <w:p>
            <w:pPr>
              <w:widowControl/>
              <w:jc w:val="center"/>
              <w:rPr>
                <w:rFonts w:hint="eastAsia" w:ascii="新宋体" w:hAnsi="新宋体" w:eastAsia="新宋体" w:cs="新宋体"/>
                <w:b/>
                <w:bCs/>
                <w:kern w:val="0"/>
                <w:sz w:val="28"/>
                <w:szCs w:val="28"/>
              </w:rPr>
            </w:pPr>
          </w:p>
        </w:tc>
        <w:tc>
          <w:tcPr>
            <w:tcW w:w="1066" w:type="dxa"/>
            <w:vAlign w:val="center"/>
          </w:tcPr>
          <w:p>
            <w:pPr>
              <w:widowControl/>
              <w:jc w:val="center"/>
              <w:rPr>
                <w:rFonts w:hint="eastAsia" w:ascii="新宋体" w:hAnsi="新宋体" w:eastAsia="新宋体" w:cs="新宋体"/>
                <w:b/>
                <w:bCs/>
                <w:kern w:val="0"/>
                <w:sz w:val="28"/>
                <w:szCs w:val="28"/>
              </w:rPr>
            </w:pPr>
          </w:p>
        </w:tc>
        <w:tc>
          <w:tcPr>
            <w:tcW w:w="1004" w:type="dxa"/>
            <w:vAlign w:val="center"/>
          </w:tcPr>
          <w:p>
            <w:pPr>
              <w:adjustRightInd w:val="0"/>
              <w:jc w:val="center"/>
              <w:rPr>
                <w:rFonts w:hint="eastAsia" w:ascii="新宋体" w:hAnsi="新宋体" w:eastAsia="新宋体" w:cs="新宋体"/>
                <w:b/>
                <w:bCs/>
                <w:sz w:val="28"/>
                <w:szCs w:val="28"/>
              </w:rPr>
            </w:pPr>
          </w:p>
        </w:tc>
        <w:tc>
          <w:tcPr>
            <w:tcW w:w="1035" w:type="dxa"/>
            <w:vAlign w:val="center"/>
          </w:tcPr>
          <w:p>
            <w:pPr>
              <w:adjustRightInd w:val="0"/>
              <w:jc w:val="center"/>
              <w:rPr>
                <w:rFonts w:hint="eastAsia" w:ascii="新宋体" w:hAnsi="新宋体" w:eastAsia="新宋体" w:cs="新宋体"/>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blHeader/>
        </w:trPr>
        <w:tc>
          <w:tcPr>
            <w:tcW w:w="702" w:type="dxa"/>
            <w:vAlign w:val="center"/>
          </w:tcPr>
          <w:p>
            <w:pPr>
              <w:widowControl/>
              <w:jc w:val="center"/>
              <w:rPr>
                <w:rFonts w:hint="eastAsia" w:ascii="新宋体" w:hAnsi="新宋体" w:eastAsia="新宋体" w:cs="新宋体"/>
                <w:b/>
                <w:kern w:val="0"/>
                <w:sz w:val="28"/>
                <w:szCs w:val="28"/>
              </w:rPr>
            </w:pPr>
            <w:r>
              <w:rPr>
                <w:rFonts w:hint="eastAsia" w:ascii="新宋体" w:hAnsi="新宋体" w:eastAsia="新宋体" w:cs="新宋体"/>
                <w:b/>
                <w:kern w:val="0"/>
                <w:sz w:val="28"/>
                <w:szCs w:val="28"/>
              </w:rPr>
              <w:t>N</w:t>
            </w:r>
          </w:p>
        </w:tc>
        <w:tc>
          <w:tcPr>
            <w:tcW w:w="7458" w:type="dxa"/>
            <w:gridSpan w:val="5"/>
            <w:vAlign w:val="center"/>
          </w:tcPr>
          <w:p>
            <w:pPr>
              <w:adjustRightInd w:val="0"/>
              <w:jc w:val="center"/>
              <w:rPr>
                <w:rFonts w:hint="eastAsia" w:ascii="新宋体" w:hAnsi="新宋体" w:eastAsia="新宋体" w:cs="新宋体"/>
                <w:b/>
                <w:bCs/>
                <w:sz w:val="28"/>
                <w:szCs w:val="28"/>
              </w:rPr>
            </w:pPr>
            <w:r>
              <w:rPr>
                <w:rFonts w:hint="eastAsia" w:ascii="新宋体" w:hAnsi="新宋体" w:eastAsia="新宋体" w:cs="新宋体"/>
                <w:b/>
                <w:bCs/>
                <w:kern w:val="0"/>
                <w:sz w:val="28"/>
                <w:szCs w:val="28"/>
              </w:rPr>
              <w:t>合计</w:t>
            </w:r>
          </w:p>
        </w:tc>
        <w:tc>
          <w:tcPr>
            <w:tcW w:w="1035" w:type="dxa"/>
            <w:vAlign w:val="center"/>
          </w:tcPr>
          <w:p>
            <w:pPr>
              <w:adjustRightInd w:val="0"/>
              <w:jc w:val="center"/>
              <w:rPr>
                <w:rFonts w:hint="eastAsia" w:ascii="新宋体" w:hAnsi="新宋体" w:eastAsia="新宋体" w:cs="新宋体"/>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blHeader/>
        </w:trPr>
        <w:tc>
          <w:tcPr>
            <w:tcW w:w="9195" w:type="dxa"/>
            <w:gridSpan w:val="7"/>
            <w:shd w:val="clear" w:color="auto" w:fill="auto"/>
            <w:vAlign w:val="center"/>
          </w:tcPr>
          <w:p>
            <w:pPr>
              <w:widowControl/>
              <w:textAlignment w:val="center"/>
              <w:rPr>
                <w:rFonts w:hint="eastAsia" w:ascii="新宋体" w:hAnsi="新宋体" w:eastAsia="新宋体" w:cs="新宋体"/>
                <w:b/>
                <w:bCs/>
                <w:sz w:val="28"/>
                <w:szCs w:val="28"/>
              </w:rPr>
            </w:pPr>
            <w:r>
              <w:rPr>
                <w:rFonts w:hint="eastAsia" w:ascii="新宋体" w:hAnsi="新宋体" w:eastAsia="新宋体" w:cs="新宋体"/>
                <w:b/>
                <w:bCs/>
                <w:sz w:val="28"/>
                <w:szCs w:val="28"/>
              </w:rPr>
              <w:t>总报价人民币</w:t>
            </w:r>
            <w:r>
              <w:rPr>
                <w:rFonts w:hint="eastAsia" w:ascii="新宋体" w:hAnsi="新宋体" w:eastAsia="新宋体" w:cs="新宋体"/>
                <w:b/>
                <w:bCs/>
                <w:sz w:val="28"/>
                <w:szCs w:val="28"/>
                <w:lang w:eastAsia="zh-CN"/>
              </w:rPr>
              <w:t>（</w:t>
            </w:r>
            <w:r>
              <w:rPr>
                <w:rFonts w:hint="eastAsia" w:ascii="新宋体" w:hAnsi="新宋体" w:eastAsia="新宋体" w:cs="新宋体"/>
                <w:b/>
                <w:bCs/>
                <w:sz w:val="28"/>
                <w:szCs w:val="28"/>
              </w:rPr>
              <w:t>大写）：                       （¥: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blHeader/>
        </w:trPr>
        <w:tc>
          <w:tcPr>
            <w:tcW w:w="9195" w:type="dxa"/>
            <w:gridSpan w:val="7"/>
            <w:shd w:val="clear" w:color="auto" w:fill="auto"/>
            <w:vAlign w:val="center"/>
          </w:tcPr>
          <w:p>
            <w:pPr>
              <w:snapToGrid w:val="0"/>
              <w:spacing w:line="400" w:lineRule="exact"/>
              <w:rPr>
                <w:rFonts w:hint="eastAsia" w:ascii="新宋体" w:hAnsi="新宋体" w:eastAsia="新宋体" w:cs="新宋体"/>
                <w:b/>
                <w:bCs/>
                <w:sz w:val="28"/>
                <w:szCs w:val="28"/>
              </w:rPr>
            </w:pPr>
            <w:r>
              <w:rPr>
                <w:rFonts w:hint="eastAsia" w:ascii="新宋体" w:hAnsi="新宋体" w:eastAsia="新宋体" w:cs="新宋体"/>
                <w:b/>
                <w:bCs/>
                <w:sz w:val="28"/>
                <w:szCs w:val="28"/>
              </w:rPr>
              <w:t>交货期: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blHeader/>
        </w:trPr>
        <w:tc>
          <w:tcPr>
            <w:tcW w:w="9195" w:type="dxa"/>
            <w:gridSpan w:val="7"/>
            <w:shd w:val="clear" w:color="auto" w:fill="auto"/>
            <w:vAlign w:val="center"/>
          </w:tcPr>
          <w:p>
            <w:pPr>
              <w:snapToGrid w:val="0"/>
              <w:spacing w:line="400" w:lineRule="exact"/>
              <w:rPr>
                <w:rFonts w:hint="eastAsia" w:ascii="新宋体" w:hAnsi="新宋体" w:eastAsia="新宋体" w:cs="新宋体"/>
                <w:b/>
                <w:bCs/>
                <w:sz w:val="28"/>
                <w:szCs w:val="28"/>
              </w:rPr>
            </w:pPr>
            <w:r>
              <w:rPr>
                <w:rFonts w:hint="eastAsia" w:ascii="新宋体" w:hAnsi="新宋体" w:eastAsia="新宋体" w:cs="新宋体"/>
                <w:b/>
                <w:bCs/>
                <w:sz w:val="28"/>
                <w:szCs w:val="28"/>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blHeader/>
        </w:trPr>
        <w:tc>
          <w:tcPr>
            <w:tcW w:w="9195" w:type="dxa"/>
            <w:gridSpan w:val="7"/>
            <w:shd w:val="clear" w:color="auto" w:fill="auto"/>
            <w:vAlign w:val="center"/>
          </w:tcPr>
          <w:p>
            <w:pPr>
              <w:snapToGrid w:val="0"/>
              <w:spacing w:line="400" w:lineRule="exact"/>
              <w:rPr>
                <w:rFonts w:hint="eastAsia" w:ascii="新宋体" w:hAnsi="新宋体" w:eastAsia="新宋体" w:cs="新宋体"/>
                <w:b/>
                <w:bCs/>
                <w:sz w:val="28"/>
                <w:szCs w:val="28"/>
              </w:rPr>
            </w:pPr>
            <w:r>
              <w:rPr>
                <w:rFonts w:hint="eastAsia" w:ascii="新宋体" w:hAnsi="新宋体" w:eastAsia="新宋体" w:cs="新宋体"/>
                <w:b/>
                <w:bCs/>
                <w:sz w:val="28"/>
                <w:szCs w:val="28"/>
              </w:rPr>
              <w:t>付款方式：供应商交货验收合格后协定分期付款。（无息）</w:t>
            </w:r>
          </w:p>
        </w:tc>
      </w:tr>
    </w:tbl>
    <w:p>
      <w:pPr>
        <w:pStyle w:val="11"/>
        <w:tabs>
          <w:tab w:val="left" w:pos="809"/>
        </w:tabs>
        <w:rPr>
          <w:rFonts w:hint="eastAsia" w:ascii="新宋体" w:hAnsi="新宋体" w:eastAsia="新宋体" w:cs="新宋体"/>
        </w:rPr>
      </w:pPr>
      <w:r>
        <w:rPr>
          <w:rFonts w:hint="eastAsia" w:ascii="新宋体" w:hAnsi="新宋体" w:eastAsia="新宋体" w:cs="新宋体"/>
        </w:rPr>
        <w:tab/>
      </w:r>
    </w:p>
    <w:p>
      <w:pPr>
        <w:pStyle w:val="11"/>
        <w:tabs>
          <w:tab w:val="left" w:pos="809"/>
        </w:tabs>
        <w:rPr>
          <w:rFonts w:hint="eastAsia" w:ascii="新宋体" w:hAnsi="新宋体" w:eastAsia="新宋体" w:cs="新宋体"/>
        </w:rPr>
      </w:pPr>
    </w:p>
    <w:p>
      <w:pPr>
        <w:pStyle w:val="11"/>
        <w:tabs>
          <w:tab w:val="left" w:pos="809"/>
        </w:tabs>
        <w:rPr>
          <w:rFonts w:hint="eastAsia" w:ascii="新宋体" w:hAnsi="新宋体" w:eastAsia="新宋体" w:cs="新宋体"/>
        </w:rPr>
      </w:pPr>
    </w:p>
    <w:p>
      <w:pPr>
        <w:pStyle w:val="11"/>
        <w:tabs>
          <w:tab w:val="left" w:pos="809"/>
        </w:tabs>
        <w:rPr>
          <w:rFonts w:hint="eastAsia" w:ascii="新宋体" w:hAnsi="新宋体" w:eastAsia="新宋体" w:cs="新宋体"/>
        </w:rPr>
      </w:pPr>
    </w:p>
    <w:p>
      <w:pPr>
        <w:pStyle w:val="11"/>
        <w:tabs>
          <w:tab w:val="left" w:pos="809"/>
        </w:tabs>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rPr>
          <w:rFonts w:hint="eastAsia" w:ascii="新宋体" w:hAnsi="新宋体" w:eastAsia="新宋体" w:cs="新宋体"/>
          <w:sz w:val="24"/>
        </w:rPr>
      </w:pPr>
      <w:r>
        <w:rPr>
          <w:rFonts w:hint="eastAsia" w:ascii="新宋体" w:hAnsi="新宋体" w:eastAsia="新宋体" w:cs="新宋体"/>
          <w:sz w:val="24"/>
        </w:rPr>
        <w:t>竞标人盖公章：</w:t>
      </w:r>
    </w:p>
    <w:p>
      <w:pPr>
        <w:rPr>
          <w:rFonts w:hint="eastAsia" w:ascii="新宋体" w:hAnsi="新宋体" w:eastAsia="新宋体" w:cs="新宋体"/>
          <w:sz w:val="24"/>
        </w:rPr>
      </w:pPr>
    </w:p>
    <w:p>
      <w:pPr>
        <w:rPr>
          <w:rFonts w:hint="eastAsia" w:ascii="新宋体" w:hAnsi="新宋体" w:eastAsia="新宋体" w:cs="新宋体"/>
          <w:sz w:val="24"/>
        </w:rPr>
      </w:pPr>
      <w:r>
        <w:rPr>
          <w:rFonts w:hint="eastAsia" w:ascii="新宋体" w:hAnsi="新宋体" w:eastAsia="新宋体" w:cs="新宋体"/>
          <w:sz w:val="24"/>
        </w:rPr>
        <w:t>法定代表人（负责人）或委托代理人签字：</w:t>
      </w:r>
    </w:p>
    <w:p>
      <w:pPr>
        <w:rPr>
          <w:rFonts w:hint="eastAsia" w:ascii="新宋体" w:hAnsi="新宋体" w:eastAsia="新宋体" w:cs="新宋体"/>
          <w:sz w:val="24"/>
        </w:rPr>
      </w:pPr>
    </w:p>
    <w:p>
      <w:pPr>
        <w:rPr>
          <w:rFonts w:hint="eastAsia" w:ascii="新宋体" w:hAnsi="新宋体" w:eastAsia="新宋体" w:cs="新宋体"/>
          <w:sz w:val="24"/>
        </w:rPr>
      </w:pPr>
      <w:r>
        <w:rPr>
          <w:rFonts w:hint="eastAsia" w:ascii="新宋体" w:hAnsi="新宋体" w:eastAsia="新宋体" w:cs="新宋体"/>
          <w:sz w:val="24"/>
        </w:rPr>
        <w:t>日      期：</w:t>
      </w:r>
    </w:p>
    <w:p>
      <w:pPr>
        <w:rPr>
          <w:rFonts w:hint="eastAsia" w:ascii="新宋体" w:hAnsi="新宋体" w:eastAsia="新宋体" w:cs="新宋体"/>
          <w:sz w:val="24"/>
        </w:rPr>
      </w:pPr>
    </w:p>
    <w:p>
      <w:pPr>
        <w:pStyle w:val="11"/>
        <w:spacing w:line="240" w:lineRule="exact"/>
        <w:rPr>
          <w:rFonts w:hint="eastAsia" w:ascii="新宋体" w:hAnsi="新宋体" w:eastAsia="新宋体" w:cs="新宋体"/>
          <w:b/>
          <w:sz w:val="44"/>
        </w:rPr>
      </w:pPr>
    </w:p>
    <w:p>
      <w:pPr>
        <w:pStyle w:val="11"/>
        <w:spacing w:line="400" w:lineRule="exact"/>
        <w:rPr>
          <w:rFonts w:hint="eastAsia" w:ascii="新宋体" w:hAnsi="新宋体" w:eastAsia="新宋体" w:cs="新宋体"/>
        </w:rPr>
      </w:pPr>
      <w:r>
        <w:rPr>
          <w:rFonts w:hint="eastAsia" w:ascii="新宋体" w:hAnsi="新宋体" w:eastAsia="新宋体" w:cs="新宋体"/>
        </w:rPr>
        <w:t>竞标说明：</w:t>
      </w:r>
    </w:p>
    <w:p>
      <w:pPr>
        <w:pStyle w:val="11"/>
        <w:spacing w:line="380" w:lineRule="exact"/>
        <w:ind w:firstLine="420" w:firstLineChars="200"/>
        <w:rPr>
          <w:rFonts w:hint="eastAsia" w:ascii="新宋体" w:hAnsi="新宋体" w:eastAsia="新宋体" w:cs="新宋体"/>
        </w:rPr>
      </w:pPr>
      <w:r>
        <w:rPr>
          <w:rFonts w:hint="eastAsia" w:ascii="新宋体" w:hAnsi="新宋体" w:eastAsia="新宋体" w:cs="新宋体"/>
        </w:rPr>
        <w:t>1、竞标人必须加盖公章并签字，无签字、盖公章的竞标无效。</w:t>
      </w:r>
    </w:p>
    <w:p>
      <w:pPr>
        <w:pStyle w:val="11"/>
        <w:spacing w:line="380" w:lineRule="exact"/>
        <w:ind w:firstLine="420"/>
        <w:rPr>
          <w:rFonts w:hint="eastAsia" w:ascii="新宋体" w:hAnsi="新宋体" w:eastAsia="新宋体" w:cs="新宋体"/>
        </w:rPr>
      </w:pPr>
      <w:r>
        <w:rPr>
          <w:rFonts w:hint="eastAsia" w:ascii="新宋体" w:hAnsi="新宋体" w:eastAsia="新宋体" w:cs="新宋体"/>
        </w:rPr>
        <w:t>2、凡在“技术参数及性能（配置）要求”中表述为“标配”或“标准配置”的设备，竞标人应在竞标报价表中将其标配参数详细列明，否则该竞标无效。</w:t>
      </w:r>
    </w:p>
    <w:p>
      <w:pPr>
        <w:jc w:val="center"/>
        <w:rPr>
          <w:rFonts w:hint="eastAsia" w:ascii="新宋体" w:hAnsi="新宋体" w:eastAsia="新宋体" w:cs="新宋体"/>
          <w:b/>
          <w:bCs/>
          <w:sz w:val="32"/>
          <w:szCs w:val="32"/>
        </w:rPr>
      </w:pPr>
      <w:r>
        <w:rPr>
          <w:rFonts w:hint="eastAsia" w:ascii="新宋体" w:hAnsi="新宋体" w:eastAsia="新宋体" w:cs="新宋体"/>
          <w:b/>
          <w:bCs/>
          <w:sz w:val="32"/>
          <w:szCs w:val="32"/>
        </w:rPr>
        <w:t>3、商务响应表</w:t>
      </w:r>
    </w:p>
    <w:p>
      <w:pPr>
        <w:jc w:val="center"/>
        <w:rPr>
          <w:rFonts w:hint="eastAsia" w:ascii="新宋体" w:hAnsi="新宋体" w:eastAsia="新宋体" w:cs="新宋体"/>
          <w:b/>
          <w:bCs/>
          <w:sz w:val="32"/>
          <w:szCs w:val="32"/>
        </w:rPr>
      </w:pP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2340"/>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rPr>
                <w:rFonts w:hint="eastAsia" w:ascii="新宋体" w:hAnsi="新宋体" w:eastAsia="新宋体" w:cs="新宋体"/>
                <w:sz w:val="28"/>
                <w:szCs w:val="28"/>
              </w:rPr>
            </w:pPr>
            <w:r>
              <w:rPr>
                <w:rFonts w:hint="eastAsia" w:ascii="新宋体" w:hAnsi="新宋体" w:eastAsia="新宋体" w:cs="新宋体"/>
                <w:sz w:val="28"/>
                <w:szCs w:val="28"/>
              </w:rPr>
              <w:t>序号</w:t>
            </w:r>
          </w:p>
        </w:tc>
        <w:tc>
          <w:tcPr>
            <w:tcW w:w="2340" w:type="dxa"/>
          </w:tcPr>
          <w:p>
            <w:pPr>
              <w:rPr>
                <w:rFonts w:hint="eastAsia" w:ascii="新宋体" w:hAnsi="新宋体" w:eastAsia="新宋体" w:cs="新宋体"/>
                <w:sz w:val="28"/>
                <w:szCs w:val="28"/>
              </w:rPr>
            </w:pPr>
            <w:r>
              <w:rPr>
                <w:rFonts w:hint="eastAsia" w:ascii="新宋体" w:hAnsi="新宋体" w:eastAsia="新宋体" w:cs="新宋体"/>
                <w:sz w:val="28"/>
                <w:szCs w:val="28"/>
              </w:rPr>
              <w:t>采购文件条目号</w:t>
            </w:r>
          </w:p>
        </w:tc>
        <w:tc>
          <w:tcPr>
            <w:tcW w:w="1704" w:type="dxa"/>
          </w:tcPr>
          <w:p>
            <w:pPr>
              <w:rPr>
                <w:rFonts w:hint="eastAsia" w:ascii="新宋体" w:hAnsi="新宋体" w:eastAsia="新宋体" w:cs="新宋体"/>
                <w:sz w:val="28"/>
                <w:szCs w:val="28"/>
              </w:rPr>
            </w:pPr>
            <w:r>
              <w:rPr>
                <w:rFonts w:hint="eastAsia" w:ascii="新宋体" w:hAnsi="新宋体" w:eastAsia="新宋体" w:cs="新宋体"/>
                <w:sz w:val="28"/>
                <w:szCs w:val="28"/>
              </w:rPr>
              <w:t>采购文件的商务条款</w:t>
            </w:r>
          </w:p>
        </w:tc>
        <w:tc>
          <w:tcPr>
            <w:tcW w:w="1705" w:type="dxa"/>
          </w:tcPr>
          <w:p>
            <w:pPr>
              <w:rPr>
                <w:rFonts w:hint="eastAsia" w:ascii="新宋体" w:hAnsi="新宋体" w:eastAsia="新宋体" w:cs="新宋体"/>
                <w:sz w:val="28"/>
                <w:szCs w:val="28"/>
              </w:rPr>
            </w:pPr>
            <w:r>
              <w:rPr>
                <w:rFonts w:hint="eastAsia" w:ascii="新宋体" w:hAnsi="新宋体" w:eastAsia="新宋体" w:cs="新宋体"/>
                <w:sz w:val="28"/>
                <w:szCs w:val="28"/>
              </w:rPr>
              <w:t>竞标文件的商务条款</w:t>
            </w:r>
          </w:p>
        </w:tc>
        <w:tc>
          <w:tcPr>
            <w:tcW w:w="1705" w:type="dxa"/>
          </w:tcPr>
          <w:p>
            <w:pPr>
              <w:rPr>
                <w:rFonts w:hint="eastAsia" w:ascii="新宋体" w:hAnsi="新宋体" w:eastAsia="新宋体" w:cs="新宋体"/>
                <w:sz w:val="28"/>
                <w:szCs w:val="28"/>
              </w:rPr>
            </w:pPr>
            <w:r>
              <w:rPr>
                <w:rFonts w:hint="eastAsia" w:ascii="新宋体" w:hAnsi="新宋体" w:eastAsia="新宋体" w:cs="新宋体"/>
                <w:sz w:val="28"/>
                <w:szCs w:val="28"/>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068" w:type="dxa"/>
          </w:tcPr>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lang w:val="en-US" w:eastAsia="zh-CN"/>
              </w:rPr>
              <w:t>1</w:t>
            </w:r>
          </w:p>
        </w:tc>
        <w:tc>
          <w:tcPr>
            <w:tcW w:w="2340" w:type="dxa"/>
          </w:tcPr>
          <w:p>
            <w:pPr>
              <w:rPr>
                <w:rFonts w:hint="eastAsia" w:ascii="新宋体" w:hAnsi="新宋体" w:eastAsia="新宋体" w:cs="新宋体"/>
                <w:sz w:val="28"/>
                <w:szCs w:val="28"/>
              </w:rPr>
            </w:pPr>
            <w:r>
              <w:rPr>
                <w:rFonts w:hint="eastAsia" w:ascii="新宋体" w:hAnsi="新宋体" w:eastAsia="新宋体" w:cs="新宋体"/>
                <w:sz w:val="28"/>
                <w:szCs w:val="28"/>
              </w:rPr>
              <w:t>项目交货地点</w:t>
            </w:r>
          </w:p>
        </w:tc>
        <w:tc>
          <w:tcPr>
            <w:tcW w:w="1704"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068" w:type="dxa"/>
          </w:tcPr>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lang w:val="en-US" w:eastAsia="zh-CN"/>
              </w:rPr>
              <w:t>2</w:t>
            </w:r>
          </w:p>
        </w:tc>
        <w:tc>
          <w:tcPr>
            <w:tcW w:w="2340" w:type="dxa"/>
          </w:tcPr>
          <w:p>
            <w:pPr>
              <w:rPr>
                <w:rFonts w:hint="eastAsia" w:ascii="新宋体" w:hAnsi="新宋体" w:eastAsia="新宋体" w:cs="新宋体"/>
                <w:sz w:val="28"/>
                <w:szCs w:val="28"/>
              </w:rPr>
            </w:pPr>
            <w:r>
              <w:rPr>
                <w:rFonts w:hint="eastAsia" w:ascii="新宋体" w:hAnsi="新宋体" w:eastAsia="新宋体" w:cs="新宋体"/>
                <w:sz w:val="28"/>
                <w:szCs w:val="28"/>
              </w:rPr>
              <w:t>付款方式</w:t>
            </w:r>
          </w:p>
        </w:tc>
        <w:tc>
          <w:tcPr>
            <w:tcW w:w="1704"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068" w:type="dxa"/>
          </w:tcPr>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lang w:val="en-US" w:eastAsia="zh-CN"/>
              </w:rPr>
              <w:t>3</w:t>
            </w:r>
          </w:p>
        </w:tc>
        <w:tc>
          <w:tcPr>
            <w:tcW w:w="2340" w:type="dxa"/>
          </w:tcPr>
          <w:p>
            <w:pPr>
              <w:rPr>
                <w:rFonts w:hint="eastAsia" w:ascii="新宋体" w:hAnsi="新宋体" w:eastAsia="新宋体" w:cs="新宋体"/>
                <w:sz w:val="28"/>
                <w:szCs w:val="28"/>
              </w:rPr>
            </w:pPr>
            <w:r>
              <w:rPr>
                <w:rFonts w:hint="eastAsia" w:ascii="新宋体" w:hAnsi="新宋体" w:eastAsia="新宋体" w:cs="新宋体"/>
                <w:sz w:val="28"/>
                <w:szCs w:val="28"/>
              </w:rPr>
              <w:t>质量保证</w:t>
            </w:r>
          </w:p>
        </w:tc>
        <w:tc>
          <w:tcPr>
            <w:tcW w:w="1704"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68" w:type="dxa"/>
          </w:tcPr>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lang w:val="en-US" w:eastAsia="zh-CN"/>
              </w:rPr>
              <w:t>4</w:t>
            </w:r>
          </w:p>
        </w:tc>
        <w:tc>
          <w:tcPr>
            <w:tcW w:w="2340" w:type="dxa"/>
          </w:tcPr>
          <w:p>
            <w:pPr>
              <w:rPr>
                <w:rFonts w:hint="eastAsia" w:ascii="新宋体" w:hAnsi="新宋体" w:eastAsia="新宋体" w:cs="新宋体"/>
                <w:sz w:val="28"/>
                <w:szCs w:val="28"/>
              </w:rPr>
            </w:pPr>
            <w:r>
              <w:rPr>
                <w:rFonts w:hint="eastAsia" w:ascii="新宋体" w:hAnsi="新宋体" w:eastAsia="新宋体" w:cs="新宋体"/>
                <w:sz w:val="28"/>
                <w:szCs w:val="28"/>
              </w:rPr>
              <w:t>违约责任</w:t>
            </w:r>
          </w:p>
        </w:tc>
        <w:tc>
          <w:tcPr>
            <w:tcW w:w="1704"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068" w:type="dxa"/>
          </w:tcPr>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lang w:val="en-US" w:eastAsia="zh-CN"/>
              </w:rPr>
              <w:t>5</w:t>
            </w:r>
          </w:p>
        </w:tc>
        <w:tc>
          <w:tcPr>
            <w:tcW w:w="2340" w:type="dxa"/>
          </w:tcPr>
          <w:p>
            <w:pPr>
              <w:rPr>
                <w:rFonts w:hint="eastAsia" w:ascii="新宋体" w:hAnsi="新宋体" w:eastAsia="新宋体" w:cs="新宋体"/>
                <w:sz w:val="28"/>
                <w:szCs w:val="28"/>
              </w:rPr>
            </w:pPr>
            <w:r>
              <w:rPr>
                <w:rFonts w:hint="eastAsia" w:ascii="新宋体" w:hAnsi="新宋体" w:eastAsia="新宋体" w:cs="新宋体"/>
                <w:sz w:val="28"/>
                <w:szCs w:val="28"/>
              </w:rPr>
              <w:t>售后服务</w:t>
            </w:r>
          </w:p>
        </w:tc>
        <w:tc>
          <w:tcPr>
            <w:tcW w:w="1704"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c>
          <w:tcPr>
            <w:tcW w:w="1705" w:type="dxa"/>
          </w:tcPr>
          <w:p>
            <w:pPr>
              <w:rPr>
                <w:rFonts w:hint="eastAsia" w:ascii="新宋体" w:hAnsi="新宋体" w:eastAsia="新宋体" w:cs="新宋体"/>
                <w:b/>
                <w:bCs/>
                <w:sz w:val="32"/>
                <w:szCs w:val="32"/>
              </w:rPr>
            </w:pPr>
          </w:p>
        </w:tc>
      </w:tr>
    </w:tbl>
    <w:p>
      <w:pPr>
        <w:rPr>
          <w:rFonts w:hint="eastAsia" w:ascii="新宋体" w:hAnsi="新宋体" w:eastAsia="新宋体" w:cs="新宋体"/>
          <w:b/>
          <w:bCs/>
          <w:sz w:val="21"/>
          <w:szCs w:val="21"/>
        </w:rPr>
      </w:pPr>
      <w:r>
        <w:rPr>
          <w:rFonts w:hint="eastAsia" w:ascii="新宋体" w:hAnsi="新宋体" w:eastAsia="新宋体" w:cs="新宋体"/>
          <w:b/>
          <w:bCs/>
          <w:sz w:val="21"/>
          <w:szCs w:val="21"/>
        </w:rPr>
        <w:t>此标可按格式自行拓展。</w:t>
      </w:r>
    </w:p>
    <w:p>
      <w:pPr>
        <w:rPr>
          <w:rFonts w:hint="eastAsia" w:ascii="新宋体" w:hAnsi="新宋体" w:eastAsia="新宋体" w:cs="新宋体"/>
          <w:b/>
          <w:bCs/>
          <w:sz w:val="21"/>
          <w:szCs w:val="21"/>
        </w:rPr>
      </w:pPr>
      <w:r>
        <w:rPr>
          <w:rFonts w:hint="eastAsia" w:ascii="新宋体" w:hAnsi="新宋体" w:eastAsia="新宋体" w:cs="新宋体"/>
          <w:b/>
          <w:bCs/>
          <w:sz w:val="21"/>
          <w:szCs w:val="21"/>
        </w:rPr>
        <w:t>投标人承诺：除上表中的偏离外，完全响应竞争性谈判采购文件的其他条款。</w:t>
      </w:r>
    </w:p>
    <w:p>
      <w:pPr>
        <w:rPr>
          <w:rFonts w:hint="eastAsia" w:ascii="新宋体" w:hAnsi="新宋体" w:eastAsia="新宋体" w:cs="新宋体"/>
          <w:b/>
          <w:bCs/>
          <w:sz w:val="32"/>
          <w:szCs w:val="32"/>
        </w:rPr>
      </w:pPr>
    </w:p>
    <w:p>
      <w:pPr>
        <w:rPr>
          <w:rFonts w:hint="eastAsia" w:ascii="新宋体" w:hAnsi="新宋体" w:eastAsia="新宋体" w:cs="新宋体"/>
          <w:b/>
          <w:bCs/>
          <w:sz w:val="32"/>
          <w:szCs w:val="32"/>
        </w:rPr>
      </w:pPr>
    </w:p>
    <w:p>
      <w:pPr>
        <w:rPr>
          <w:rFonts w:hint="eastAsia" w:ascii="新宋体" w:hAnsi="新宋体" w:eastAsia="新宋体" w:cs="新宋体"/>
          <w:b/>
          <w:bCs/>
          <w:sz w:val="32"/>
          <w:szCs w:val="32"/>
        </w:rPr>
      </w:pPr>
    </w:p>
    <w:p>
      <w:pPr>
        <w:rPr>
          <w:rFonts w:hint="eastAsia" w:ascii="新宋体" w:hAnsi="新宋体" w:eastAsia="新宋体" w:cs="新宋体"/>
          <w:sz w:val="24"/>
          <w:u w:val="single"/>
        </w:rPr>
      </w:pPr>
      <w:r>
        <w:rPr>
          <w:rFonts w:hint="eastAsia" w:ascii="新宋体" w:hAnsi="新宋体" w:eastAsia="新宋体" w:cs="新宋体"/>
          <w:sz w:val="24"/>
        </w:rPr>
        <w:t>竞标人（公章）：</w:t>
      </w:r>
    </w:p>
    <w:p>
      <w:pPr>
        <w:rPr>
          <w:rFonts w:hint="eastAsia" w:ascii="新宋体" w:hAnsi="新宋体" w:eastAsia="新宋体" w:cs="新宋体"/>
          <w:sz w:val="24"/>
          <w:u w:val="single"/>
        </w:rPr>
      </w:pPr>
    </w:p>
    <w:p>
      <w:pPr>
        <w:rPr>
          <w:rFonts w:hint="eastAsia" w:ascii="新宋体" w:hAnsi="新宋体" w:eastAsia="新宋体" w:cs="新宋体"/>
          <w:sz w:val="24"/>
          <w:u w:val="single"/>
        </w:rPr>
      </w:pPr>
      <w:r>
        <w:rPr>
          <w:rFonts w:hint="eastAsia" w:ascii="新宋体" w:hAnsi="新宋体" w:eastAsia="新宋体" w:cs="新宋体"/>
          <w:sz w:val="24"/>
        </w:rPr>
        <w:t>法定代表人（负责人）或委托代理人签字：</w:t>
      </w:r>
    </w:p>
    <w:p>
      <w:pPr>
        <w:rPr>
          <w:rFonts w:hint="eastAsia" w:ascii="新宋体" w:hAnsi="新宋体" w:eastAsia="新宋体" w:cs="新宋体"/>
          <w:sz w:val="24"/>
          <w:u w:val="single"/>
        </w:rPr>
      </w:pPr>
    </w:p>
    <w:p>
      <w:pPr>
        <w:rPr>
          <w:rFonts w:hint="eastAsia" w:ascii="新宋体" w:hAnsi="新宋体" w:eastAsia="新宋体" w:cs="新宋体"/>
          <w:sz w:val="24"/>
          <w:u w:val="single"/>
        </w:rPr>
      </w:pPr>
      <w:r>
        <w:rPr>
          <w:rFonts w:hint="eastAsia" w:ascii="新宋体" w:hAnsi="新宋体" w:eastAsia="新宋体" w:cs="新宋体"/>
          <w:sz w:val="24"/>
        </w:rPr>
        <w:t>日期：</w:t>
      </w: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spacing w:line="540" w:lineRule="exact"/>
        <w:jc w:val="center"/>
        <w:rPr>
          <w:rFonts w:hint="eastAsia" w:ascii="新宋体" w:hAnsi="新宋体" w:eastAsia="新宋体" w:cs="新宋体"/>
          <w:b/>
          <w:sz w:val="30"/>
        </w:rPr>
      </w:pPr>
    </w:p>
    <w:p>
      <w:pPr>
        <w:spacing w:line="540" w:lineRule="exact"/>
        <w:jc w:val="center"/>
        <w:rPr>
          <w:rFonts w:hint="eastAsia" w:ascii="新宋体" w:hAnsi="新宋体" w:eastAsia="新宋体" w:cs="新宋体"/>
          <w:b/>
          <w:sz w:val="30"/>
        </w:rPr>
      </w:pPr>
    </w:p>
    <w:p>
      <w:pPr>
        <w:pStyle w:val="2"/>
        <w:rPr>
          <w:rFonts w:hint="eastAsia" w:ascii="新宋体" w:hAnsi="新宋体" w:eastAsia="新宋体" w:cs="新宋体"/>
          <w:b/>
          <w:sz w:val="30"/>
        </w:rPr>
      </w:pPr>
    </w:p>
    <w:p>
      <w:pPr>
        <w:spacing w:line="540" w:lineRule="exact"/>
        <w:jc w:val="both"/>
        <w:rPr>
          <w:rFonts w:hint="eastAsia" w:ascii="新宋体" w:hAnsi="新宋体" w:eastAsia="新宋体" w:cs="新宋体"/>
          <w:b/>
          <w:sz w:val="30"/>
        </w:rPr>
      </w:pPr>
    </w:p>
    <w:p>
      <w:pPr>
        <w:spacing w:line="540" w:lineRule="exact"/>
        <w:jc w:val="center"/>
        <w:rPr>
          <w:rFonts w:hint="eastAsia" w:ascii="新宋体" w:hAnsi="新宋体" w:eastAsia="新宋体" w:cs="新宋体"/>
          <w:b/>
          <w:bCs/>
          <w:sz w:val="30"/>
        </w:rPr>
      </w:pPr>
      <w:r>
        <w:rPr>
          <w:rFonts w:hint="eastAsia" w:ascii="新宋体" w:hAnsi="新宋体" w:eastAsia="新宋体" w:cs="新宋体"/>
          <w:b/>
          <w:sz w:val="30"/>
        </w:rPr>
        <w:t>4、竞标保证金缴纳收据</w:t>
      </w:r>
      <w:r>
        <w:rPr>
          <w:rFonts w:hint="eastAsia" w:ascii="新宋体" w:hAnsi="新宋体" w:eastAsia="新宋体" w:cs="新宋体"/>
          <w:b/>
          <w:bCs/>
          <w:sz w:val="30"/>
        </w:rPr>
        <w:t>格式</w:t>
      </w:r>
    </w:p>
    <w:p>
      <w:pPr>
        <w:spacing w:line="540" w:lineRule="exact"/>
        <w:jc w:val="center"/>
        <w:rPr>
          <w:rFonts w:hint="eastAsia" w:ascii="新宋体" w:hAnsi="新宋体" w:eastAsia="新宋体" w:cs="新宋体"/>
          <w:sz w:val="30"/>
        </w:rPr>
      </w:pPr>
      <w:r>
        <w:rPr>
          <w:rFonts w:hint="eastAsia" w:ascii="新宋体" w:hAnsi="新宋体" w:eastAsia="新宋体" w:cs="新宋体"/>
          <w:b/>
          <w:sz w:val="30"/>
        </w:rPr>
        <w:t>（复印件）</w:t>
      </w:r>
    </w:p>
    <w:p>
      <w:pPr>
        <w:spacing w:line="540" w:lineRule="exact"/>
        <w:rPr>
          <w:rFonts w:hint="eastAsia" w:ascii="新宋体" w:hAnsi="新宋体" w:eastAsia="新宋体" w:cs="新宋体"/>
          <w:b/>
          <w:bCs/>
          <w:sz w:val="30"/>
        </w:rPr>
      </w:pPr>
    </w:p>
    <w:p>
      <w:pPr>
        <w:spacing w:line="540" w:lineRule="exact"/>
        <w:rPr>
          <w:rFonts w:hint="eastAsia" w:ascii="新宋体" w:hAnsi="新宋体" w:eastAsia="新宋体" w:cs="新宋体"/>
          <w:b/>
          <w:bCs/>
          <w:sz w:val="30"/>
        </w:rPr>
      </w:pPr>
    </w:p>
    <w:p>
      <w:pPr>
        <w:spacing w:line="540" w:lineRule="exact"/>
        <w:rPr>
          <w:rFonts w:hint="eastAsia" w:ascii="新宋体" w:hAnsi="新宋体" w:eastAsia="新宋体" w:cs="新宋体"/>
          <w:b/>
          <w:bCs/>
          <w:sz w:val="30"/>
        </w:rPr>
      </w:pPr>
    </w:p>
    <w:p>
      <w:pPr>
        <w:spacing w:line="540" w:lineRule="exact"/>
        <w:rPr>
          <w:rFonts w:hint="eastAsia" w:ascii="新宋体" w:hAnsi="新宋体" w:eastAsia="新宋体" w:cs="新宋体"/>
          <w:b/>
          <w:bCs/>
          <w:sz w:val="30"/>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spacing w:line="540" w:lineRule="exact"/>
        <w:jc w:val="center"/>
        <w:rPr>
          <w:rFonts w:hint="eastAsia" w:ascii="新宋体" w:hAnsi="新宋体" w:eastAsia="新宋体" w:cs="新宋体"/>
          <w:b/>
          <w:sz w:val="30"/>
          <w:lang w:eastAsia="zh-CN"/>
        </w:rPr>
      </w:pPr>
      <w:r>
        <w:rPr>
          <w:rFonts w:hint="eastAsia" w:ascii="新宋体" w:hAnsi="新宋体" w:eastAsia="新宋体" w:cs="新宋体"/>
          <w:b/>
          <w:sz w:val="30"/>
        </w:rPr>
        <w:t>5、竞标人在“信用中国”网站(www.creditchina.gov.cn)、中国政府采购网(www.ccgp.gov.cn)等渠道未列入失信被执行人、重大税收违法案件当事人名单载图</w:t>
      </w:r>
      <w:r>
        <w:rPr>
          <w:rFonts w:hint="eastAsia" w:ascii="新宋体" w:hAnsi="新宋体" w:eastAsia="新宋体" w:cs="新宋体"/>
          <w:b/>
          <w:sz w:val="30"/>
          <w:lang w:eastAsia="zh-CN"/>
        </w:rPr>
        <w:t>。</w:t>
      </w:r>
    </w:p>
    <w:p>
      <w:pPr>
        <w:pStyle w:val="11"/>
        <w:spacing w:line="420" w:lineRule="exact"/>
        <w:jc w:val="center"/>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rPr>
      </w:pPr>
    </w:p>
    <w:p>
      <w:pPr>
        <w:pStyle w:val="11"/>
        <w:spacing w:line="420" w:lineRule="exact"/>
        <w:rPr>
          <w:rFonts w:hint="eastAsia" w:ascii="新宋体" w:hAnsi="新宋体" w:eastAsia="新宋体" w:cs="新宋体"/>
          <w:b/>
          <w:sz w:val="32"/>
        </w:rPr>
      </w:pPr>
    </w:p>
    <w:p>
      <w:pPr>
        <w:spacing w:line="540" w:lineRule="exact"/>
        <w:jc w:val="center"/>
        <w:rPr>
          <w:rFonts w:hint="eastAsia" w:ascii="新宋体" w:hAnsi="新宋体" w:eastAsia="新宋体" w:cs="新宋体"/>
          <w:b/>
          <w:bCs/>
          <w:sz w:val="30"/>
        </w:rPr>
      </w:pPr>
      <w:r>
        <w:rPr>
          <w:rFonts w:hint="eastAsia" w:ascii="新宋体" w:hAnsi="新宋体" w:eastAsia="新宋体" w:cs="新宋体"/>
          <w:b/>
          <w:sz w:val="30"/>
        </w:rPr>
        <w:t>6、竞标人资格证明文件</w:t>
      </w:r>
      <w:r>
        <w:rPr>
          <w:rFonts w:hint="eastAsia" w:ascii="新宋体" w:hAnsi="新宋体" w:eastAsia="新宋体" w:cs="新宋体"/>
          <w:b/>
          <w:bCs/>
          <w:sz w:val="30"/>
        </w:rPr>
        <w:t>格式</w:t>
      </w:r>
    </w:p>
    <w:p>
      <w:pPr>
        <w:pStyle w:val="11"/>
        <w:spacing w:before="240" w:line="560" w:lineRule="exact"/>
        <w:rPr>
          <w:rFonts w:hint="eastAsia" w:ascii="新宋体" w:hAnsi="新宋体" w:eastAsia="新宋体" w:cs="新宋体"/>
          <w:bCs/>
          <w:sz w:val="24"/>
        </w:rPr>
      </w:pPr>
      <w:r>
        <w:rPr>
          <w:rFonts w:hint="eastAsia" w:ascii="新宋体" w:hAnsi="新宋体" w:eastAsia="新宋体" w:cs="新宋体"/>
          <w:bCs/>
          <w:sz w:val="24"/>
        </w:rPr>
        <w:t xml:space="preserve">                  （竞标人按竞标须知第12条要求提供）</w:t>
      </w: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560" w:lineRule="exact"/>
        <w:rPr>
          <w:rFonts w:hint="eastAsia" w:ascii="新宋体" w:hAnsi="新宋体" w:eastAsia="新宋体" w:cs="新宋体"/>
          <w:b/>
          <w:sz w:val="30"/>
          <w:szCs w:val="24"/>
        </w:rPr>
      </w:pPr>
      <w:r>
        <w:rPr>
          <w:rFonts w:hint="eastAsia" w:ascii="新宋体" w:hAnsi="新宋体" w:eastAsia="新宋体" w:cs="新宋体"/>
          <w:b/>
          <w:sz w:val="30"/>
        </w:rPr>
        <w:br w:type="page"/>
      </w:r>
      <w:r>
        <w:rPr>
          <w:rFonts w:hint="eastAsia" w:ascii="新宋体" w:hAnsi="新宋体" w:eastAsia="新宋体" w:cs="新宋体"/>
          <w:b/>
          <w:sz w:val="30"/>
          <w:szCs w:val="24"/>
        </w:rPr>
        <w:t>附件：法人（负责人）授权委托书格式</w:t>
      </w:r>
    </w:p>
    <w:p>
      <w:pPr>
        <w:pStyle w:val="11"/>
        <w:spacing w:line="420" w:lineRule="exact"/>
        <w:rPr>
          <w:rFonts w:hint="eastAsia" w:ascii="新宋体" w:hAnsi="新宋体" w:eastAsia="新宋体" w:cs="新宋体"/>
          <w:u w:val="single"/>
        </w:rPr>
      </w:pPr>
      <w:r>
        <w:rPr>
          <w:rFonts w:hint="eastAsia" w:ascii="新宋体" w:hAnsi="新宋体" w:eastAsia="新宋体" w:cs="新宋体"/>
          <w:u w:val="single"/>
        </w:rPr>
        <w:t>广西祥立工程咨询有限责任公司：</w:t>
      </w:r>
    </w:p>
    <w:p>
      <w:pPr>
        <w:pStyle w:val="11"/>
        <w:rPr>
          <w:rFonts w:hint="eastAsia" w:ascii="新宋体" w:hAnsi="新宋体" w:eastAsia="新宋体" w:cs="新宋体"/>
        </w:rPr>
      </w:pPr>
    </w:p>
    <w:p>
      <w:pPr>
        <w:pStyle w:val="11"/>
        <w:spacing w:line="480" w:lineRule="exact"/>
        <w:rPr>
          <w:rFonts w:hint="eastAsia" w:ascii="新宋体" w:hAnsi="新宋体" w:eastAsia="新宋体" w:cs="新宋体"/>
        </w:rPr>
      </w:pPr>
      <w:r>
        <w:rPr>
          <w:rFonts w:hint="eastAsia" w:ascii="新宋体" w:hAnsi="新宋体" w:eastAsia="新宋体" w:cs="新宋体"/>
        </w:rPr>
        <w:t xml:space="preserve">    兹授权同志为我公司参加贵单位组织的</w:t>
      </w:r>
      <w:r>
        <w:rPr>
          <w:rFonts w:hint="eastAsia" w:ascii="新宋体" w:hAnsi="新宋体" w:eastAsia="新宋体" w:cs="新宋体"/>
          <w:u w:val="single"/>
        </w:rPr>
        <w:t xml:space="preserve">  （项目名称）   </w:t>
      </w:r>
      <w:r>
        <w:rPr>
          <w:rFonts w:hint="eastAsia" w:ascii="新宋体" w:hAnsi="新宋体" w:eastAsia="新宋体" w:cs="新宋体"/>
        </w:rPr>
        <w:t>项目竞标（竞标编号</w:t>
      </w:r>
      <w:r>
        <w:rPr>
          <w:rFonts w:hint="eastAsia" w:ascii="新宋体" w:hAnsi="新宋体" w:eastAsia="新宋体" w:cs="新宋体"/>
          <w:u w:val="single"/>
        </w:rPr>
        <w:t xml:space="preserve">：            </w:t>
      </w:r>
      <w:r>
        <w:rPr>
          <w:rFonts w:hint="eastAsia" w:ascii="新宋体" w:hAnsi="新宋体" w:eastAsia="新宋体" w:cs="新宋体"/>
        </w:rPr>
        <w:t>）谈判活动的谈判代表人，全权代表我公司处理在该项目活动中的一切事宜。</w:t>
      </w:r>
    </w:p>
    <w:p>
      <w:pPr>
        <w:pStyle w:val="11"/>
        <w:spacing w:line="480" w:lineRule="exact"/>
        <w:rPr>
          <w:rFonts w:hint="eastAsia" w:ascii="新宋体" w:hAnsi="新宋体" w:eastAsia="新宋体" w:cs="新宋体"/>
          <w:sz w:val="24"/>
          <w:szCs w:val="24"/>
        </w:rPr>
      </w:pPr>
      <w:r>
        <w:rPr>
          <w:rFonts w:hint="eastAsia" w:ascii="新宋体" w:hAnsi="新宋体" w:eastAsia="新宋体" w:cs="新宋体"/>
          <w:sz w:val="24"/>
          <w:szCs w:val="24"/>
        </w:rPr>
        <w:t xml:space="preserve">代理期限从: </w:t>
      </w:r>
    </w:p>
    <w:p>
      <w:pPr>
        <w:pStyle w:val="11"/>
        <w:spacing w:line="480" w:lineRule="exact"/>
        <w:rPr>
          <w:rFonts w:hint="eastAsia" w:ascii="新宋体" w:hAnsi="新宋体" w:eastAsia="新宋体" w:cs="新宋体"/>
          <w:sz w:val="24"/>
          <w:szCs w:val="24"/>
        </w:rPr>
      </w:pP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 xml:space="preserve">委托单位（签章）：                     </w:t>
      </w:r>
    </w:p>
    <w:p>
      <w:pPr>
        <w:pStyle w:val="11"/>
        <w:spacing w:line="480" w:lineRule="exact"/>
        <w:ind w:firstLine="315" w:firstLineChars="150"/>
        <w:rPr>
          <w:rFonts w:hint="eastAsia" w:ascii="新宋体" w:hAnsi="新宋体" w:eastAsia="新宋体" w:cs="新宋体"/>
        </w:rPr>
      </w:pPr>
      <w:r>
        <w:rPr>
          <w:rFonts w:hint="eastAsia" w:ascii="新宋体" w:hAnsi="新宋体" w:eastAsia="新宋体" w:cs="新宋体"/>
        </w:rPr>
        <w:t xml:space="preserve"> 法定代表人（负责人）（签字或盖章）：         </w:t>
      </w: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签发日期：    年      月     日</w:t>
      </w:r>
    </w:p>
    <w:p>
      <w:pPr>
        <w:pStyle w:val="11"/>
        <w:spacing w:line="480" w:lineRule="exact"/>
        <w:rPr>
          <w:rFonts w:hint="eastAsia" w:ascii="新宋体" w:hAnsi="新宋体" w:eastAsia="新宋体" w:cs="新宋体"/>
        </w:rPr>
      </w:pPr>
    </w:p>
    <w:p>
      <w:pPr>
        <w:pStyle w:val="11"/>
        <w:spacing w:line="480" w:lineRule="exact"/>
        <w:rPr>
          <w:rFonts w:hint="eastAsia" w:ascii="新宋体" w:hAnsi="新宋体" w:eastAsia="新宋体" w:cs="新宋体"/>
        </w:rPr>
      </w:pPr>
      <w:r>
        <w:rPr>
          <w:rFonts w:hint="eastAsia" w:ascii="新宋体" w:hAnsi="新宋体" w:eastAsia="新宋体" w:cs="新宋体"/>
        </w:rPr>
        <w:pict>
          <v:line id="Line 4" o:spid="_x0000_s1027" o:spt="20" style="position:absolute;left:0pt;margin-left:0pt;margin-top:0pt;height:0pt;width:483pt;mso-wrap-distance-bottom:0pt;mso-wrap-distance-top:14.2pt;z-index:251665408;mso-width-relative:page;mso-height-relative:page;"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cB1T30AAAAAIBAAAPAAAAAAAAAAEAIAAAACIAAABkcnMvZG93bnJldi54bWxQ&#10;SwECFAAUAAAACACHTuJAR3d2Z8YBAACZAwAADgAAAAAAAAABACAAAAAfAQAAZHJzL2Uyb0RvYy54&#10;bWxQSwUGAAAAAAYABgBZAQAAVwUAAAAA&#10;">
            <v:path arrowok="t"/>
            <v:fill focussize="0,0"/>
            <v:stroke/>
            <v:imagedata o:title=""/>
            <o:lock v:ext="edit"/>
            <w10:wrap type="topAndBottom"/>
          </v:line>
        </w:pict>
      </w:r>
      <w:r>
        <w:rPr>
          <w:rFonts w:hint="eastAsia" w:ascii="新宋体" w:hAnsi="新宋体" w:eastAsia="新宋体" w:cs="新宋体"/>
        </w:rPr>
        <w:t xml:space="preserve">    附：1、代理人工作单位：                       职务：</w:t>
      </w: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 xml:space="preserve">       身份证号码：                           性别：           年龄：</w:t>
      </w:r>
    </w:p>
    <w:p>
      <w:pPr>
        <w:pStyle w:val="11"/>
        <w:spacing w:line="480" w:lineRule="exact"/>
        <w:ind w:firstLine="840"/>
        <w:rPr>
          <w:rFonts w:hint="eastAsia" w:ascii="新宋体" w:hAnsi="新宋体" w:eastAsia="新宋体" w:cs="新宋体"/>
        </w:rPr>
      </w:pPr>
      <w:r>
        <w:rPr>
          <w:rFonts w:hint="eastAsia" w:ascii="新宋体" w:hAnsi="新宋体" w:eastAsia="新宋体" w:cs="新宋体"/>
        </w:rPr>
        <w:t>2、委托人企业法人营业执照号码：</w:t>
      </w: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 xml:space="preserve">       地址：                                 经济性质：</w:t>
      </w: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 xml:space="preserve">       注册资金：                             经营方式：</w:t>
      </w: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 xml:space="preserve">       经营范围：</w:t>
      </w:r>
    </w:p>
    <w:p>
      <w:pPr>
        <w:pStyle w:val="11"/>
        <w:spacing w:line="480" w:lineRule="exact"/>
        <w:rPr>
          <w:rFonts w:hint="eastAsia" w:ascii="新宋体" w:hAnsi="新宋体" w:eastAsia="新宋体" w:cs="新宋体"/>
        </w:rPr>
      </w:pPr>
    </w:p>
    <w:p>
      <w:pPr>
        <w:pStyle w:val="11"/>
        <w:spacing w:line="480" w:lineRule="exact"/>
        <w:ind w:firstLine="420"/>
        <w:rPr>
          <w:rFonts w:hint="eastAsia" w:ascii="新宋体" w:hAnsi="新宋体" w:eastAsia="新宋体" w:cs="新宋体"/>
        </w:rPr>
      </w:pPr>
      <w:r>
        <w:rPr>
          <w:rFonts w:hint="eastAsia" w:ascii="新宋体" w:hAnsi="新宋体" w:eastAsia="新宋体" w:cs="新宋体"/>
        </w:rPr>
        <w:t>说明：</w:t>
      </w:r>
    </w:p>
    <w:p>
      <w:pPr>
        <w:pStyle w:val="11"/>
        <w:spacing w:line="480" w:lineRule="exact"/>
        <w:ind w:firstLine="735"/>
        <w:rPr>
          <w:rFonts w:hint="eastAsia" w:ascii="新宋体" w:hAnsi="新宋体" w:eastAsia="新宋体" w:cs="新宋体"/>
        </w:rPr>
      </w:pPr>
      <w:r>
        <w:rPr>
          <w:rFonts w:hint="eastAsia" w:ascii="新宋体" w:hAnsi="新宋体" w:eastAsia="新宋体" w:cs="新宋体"/>
        </w:rPr>
        <w:t>1、法人（负责人）授权委托书所签发的代理期限必须涵盖代理人所有签字为有效的时间。</w:t>
      </w:r>
    </w:p>
    <w:p>
      <w:pPr>
        <w:pStyle w:val="11"/>
        <w:spacing w:line="480" w:lineRule="exact"/>
        <w:ind w:firstLine="735"/>
        <w:rPr>
          <w:rFonts w:hint="eastAsia" w:ascii="新宋体" w:hAnsi="新宋体" w:eastAsia="新宋体" w:cs="新宋体"/>
        </w:rPr>
      </w:pPr>
      <w:r>
        <w:rPr>
          <w:rFonts w:hint="eastAsia" w:ascii="新宋体" w:hAnsi="新宋体" w:eastAsia="新宋体" w:cs="新宋体"/>
        </w:rPr>
        <w:t>2、委托书内容填写要明确，文字要工整清楚，涂改无效。</w:t>
      </w:r>
    </w:p>
    <w:p>
      <w:pPr>
        <w:pStyle w:val="11"/>
        <w:spacing w:line="480" w:lineRule="exact"/>
        <w:ind w:firstLine="735"/>
        <w:rPr>
          <w:rFonts w:hint="eastAsia" w:ascii="新宋体" w:hAnsi="新宋体" w:eastAsia="新宋体" w:cs="新宋体"/>
        </w:rPr>
      </w:pPr>
      <w:r>
        <w:rPr>
          <w:rFonts w:hint="eastAsia" w:ascii="新宋体" w:hAnsi="新宋体" w:eastAsia="新宋体" w:cs="新宋体"/>
        </w:rPr>
        <w:t>3、委托书不得转借、转让，不得买卖。</w:t>
      </w:r>
    </w:p>
    <w:p>
      <w:pPr>
        <w:pStyle w:val="11"/>
        <w:spacing w:line="560" w:lineRule="exact"/>
        <w:ind w:firstLine="630" w:firstLineChars="300"/>
        <w:rPr>
          <w:rFonts w:hint="eastAsia" w:ascii="新宋体" w:hAnsi="新宋体" w:eastAsia="新宋体" w:cs="新宋体"/>
          <w:b/>
          <w:sz w:val="24"/>
        </w:rPr>
      </w:pPr>
      <w:r>
        <w:rPr>
          <w:rFonts w:hint="eastAsia" w:ascii="新宋体" w:hAnsi="新宋体" w:eastAsia="新宋体" w:cs="新宋体"/>
        </w:rPr>
        <w:t>代理人根据授权范围，以委托单位的名义签订合同，并将此委托书提交给对方作为合同附件。</w:t>
      </w:r>
    </w:p>
    <w:p>
      <w:pPr>
        <w:pStyle w:val="11"/>
        <w:spacing w:line="420" w:lineRule="exact"/>
        <w:ind w:firstLine="420"/>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spacing w:line="540" w:lineRule="exact"/>
        <w:jc w:val="center"/>
        <w:rPr>
          <w:rFonts w:hint="eastAsia" w:ascii="新宋体" w:hAnsi="新宋体" w:eastAsia="新宋体" w:cs="新宋体"/>
          <w:b/>
          <w:bCs/>
          <w:sz w:val="30"/>
        </w:rPr>
      </w:pPr>
      <w:r>
        <w:rPr>
          <w:rFonts w:hint="eastAsia" w:ascii="新宋体" w:hAnsi="新宋体" w:eastAsia="新宋体" w:cs="新宋体"/>
          <w:b/>
          <w:sz w:val="30"/>
        </w:rPr>
        <w:t>7、竞标货物合格的证明文件</w:t>
      </w:r>
      <w:r>
        <w:rPr>
          <w:rFonts w:hint="eastAsia" w:ascii="新宋体" w:hAnsi="新宋体" w:eastAsia="新宋体" w:cs="新宋体"/>
          <w:b/>
          <w:bCs/>
          <w:sz w:val="30"/>
        </w:rPr>
        <w:t>格式</w:t>
      </w:r>
    </w:p>
    <w:p>
      <w:pPr>
        <w:pStyle w:val="11"/>
        <w:spacing w:line="560" w:lineRule="exact"/>
        <w:jc w:val="center"/>
        <w:rPr>
          <w:rFonts w:hint="eastAsia" w:ascii="新宋体" w:hAnsi="新宋体" w:eastAsia="新宋体" w:cs="新宋体"/>
          <w:bCs/>
          <w:sz w:val="24"/>
        </w:rPr>
      </w:pPr>
      <w:r>
        <w:rPr>
          <w:rFonts w:hint="eastAsia" w:ascii="新宋体" w:hAnsi="新宋体" w:eastAsia="新宋体" w:cs="新宋体"/>
          <w:bCs/>
          <w:sz w:val="24"/>
        </w:rPr>
        <w:t>（竞标人按竞标须知第13条要求提供）</w:t>
      </w:r>
    </w:p>
    <w:p>
      <w:pPr>
        <w:pStyle w:val="11"/>
        <w:spacing w:line="560" w:lineRule="exact"/>
        <w:ind w:firstLine="420"/>
        <w:rPr>
          <w:rFonts w:hint="eastAsia" w:ascii="新宋体" w:hAnsi="新宋体" w:eastAsia="新宋体" w:cs="新宋体"/>
          <w:sz w:val="24"/>
        </w:rPr>
      </w:pPr>
    </w:p>
    <w:p>
      <w:pPr>
        <w:pStyle w:val="11"/>
        <w:spacing w:line="560" w:lineRule="exact"/>
        <w:ind w:firstLine="420"/>
        <w:rPr>
          <w:rFonts w:hint="eastAsia" w:ascii="新宋体" w:hAnsi="新宋体" w:eastAsia="新宋体" w:cs="新宋体"/>
          <w:sz w:val="24"/>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before="240"/>
        <w:jc w:val="center"/>
        <w:rPr>
          <w:rFonts w:hint="eastAsia" w:ascii="新宋体" w:hAnsi="新宋体" w:eastAsia="新宋体" w:cs="新宋体"/>
          <w:b/>
          <w:sz w:val="30"/>
        </w:rPr>
      </w:pPr>
      <w:r>
        <w:rPr>
          <w:rFonts w:hint="eastAsia" w:ascii="新宋体" w:hAnsi="新宋体" w:eastAsia="新宋体" w:cs="新宋体"/>
          <w:b/>
          <w:sz w:val="30"/>
        </w:rPr>
        <w:t>8、售后服务承诺书格式</w:t>
      </w:r>
    </w:p>
    <w:p>
      <w:pPr>
        <w:pStyle w:val="11"/>
        <w:spacing w:before="240"/>
        <w:jc w:val="center"/>
        <w:rPr>
          <w:rFonts w:hint="eastAsia" w:ascii="新宋体" w:hAnsi="新宋体" w:eastAsia="新宋体" w:cs="新宋体"/>
          <w:b/>
          <w:sz w:val="30"/>
        </w:rPr>
      </w:pPr>
      <w:r>
        <w:rPr>
          <w:rFonts w:hint="eastAsia" w:ascii="新宋体" w:hAnsi="新宋体" w:eastAsia="新宋体" w:cs="新宋体"/>
        </w:rPr>
        <w:t>（由竞标人按《货物需求一览表》售后服务及要求自行填写）</w:t>
      </w:r>
    </w:p>
    <w:p>
      <w:pPr>
        <w:pStyle w:val="11"/>
        <w:spacing w:before="240"/>
        <w:ind w:firstLine="602" w:firstLineChars="200"/>
        <w:rPr>
          <w:rFonts w:hint="eastAsia" w:ascii="新宋体" w:hAnsi="新宋体" w:eastAsia="新宋体" w:cs="新宋体"/>
          <w:b/>
          <w:sz w:val="30"/>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rPr>
          <w:rFonts w:hint="eastAsia" w:ascii="新宋体" w:hAnsi="新宋体" w:eastAsia="新宋体" w:cs="新宋体"/>
          <w:szCs w:val="24"/>
        </w:rPr>
      </w:pPr>
      <w:r>
        <w:rPr>
          <w:rFonts w:hint="eastAsia" w:ascii="新宋体" w:hAnsi="新宋体" w:eastAsia="新宋体" w:cs="新宋体"/>
          <w:szCs w:val="24"/>
        </w:rPr>
        <w:t xml:space="preserve">竞标人盖公章： </w:t>
      </w:r>
    </w:p>
    <w:p>
      <w:pPr>
        <w:pStyle w:val="11"/>
        <w:jc w:val="center"/>
        <w:rPr>
          <w:rFonts w:hint="eastAsia" w:ascii="新宋体" w:hAnsi="新宋体" w:eastAsia="新宋体" w:cs="新宋体"/>
          <w:szCs w:val="24"/>
        </w:rPr>
      </w:pPr>
    </w:p>
    <w:p>
      <w:pPr>
        <w:pStyle w:val="11"/>
        <w:rPr>
          <w:rFonts w:hint="eastAsia" w:ascii="新宋体" w:hAnsi="新宋体" w:eastAsia="新宋体" w:cs="新宋体"/>
          <w:szCs w:val="24"/>
        </w:rPr>
      </w:pPr>
      <w:r>
        <w:rPr>
          <w:rFonts w:hint="eastAsia" w:ascii="新宋体" w:hAnsi="新宋体" w:eastAsia="新宋体" w:cs="新宋体"/>
          <w:szCs w:val="24"/>
        </w:rPr>
        <w:t xml:space="preserve"> 法定代表人（负责人）或委托代理人签字：</w:t>
      </w:r>
    </w:p>
    <w:p>
      <w:pPr>
        <w:pStyle w:val="11"/>
        <w:rPr>
          <w:rFonts w:hint="eastAsia" w:ascii="新宋体" w:hAnsi="新宋体" w:eastAsia="新宋体" w:cs="新宋体"/>
          <w:szCs w:val="24"/>
        </w:rPr>
      </w:pPr>
    </w:p>
    <w:p>
      <w:pPr>
        <w:pStyle w:val="11"/>
        <w:rPr>
          <w:rFonts w:hint="eastAsia" w:ascii="新宋体" w:hAnsi="新宋体" w:eastAsia="新宋体" w:cs="新宋体"/>
          <w:szCs w:val="24"/>
          <w:u w:val="single"/>
        </w:rPr>
      </w:pPr>
      <w:r>
        <w:rPr>
          <w:rFonts w:hint="eastAsia" w:ascii="新宋体" w:hAnsi="新宋体" w:eastAsia="新宋体" w:cs="新宋体"/>
          <w:szCs w:val="24"/>
        </w:rPr>
        <w:t xml:space="preserve"> 日  期： </w:t>
      </w:r>
    </w:p>
    <w:p>
      <w:pPr>
        <w:pStyle w:val="11"/>
        <w:jc w:val="left"/>
        <w:rPr>
          <w:rFonts w:hint="eastAsia" w:ascii="新宋体" w:hAnsi="新宋体" w:eastAsia="新宋体" w:cs="新宋体"/>
          <w:szCs w:val="24"/>
          <w:u w:val="single"/>
        </w:rPr>
      </w:pPr>
    </w:p>
    <w:p>
      <w:pPr>
        <w:pStyle w:val="11"/>
        <w:spacing w:line="420" w:lineRule="exact"/>
        <w:ind w:firstLine="2520" w:firstLineChars="1200"/>
        <w:rPr>
          <w:rFonts w:hint="eastAsia" w:ascii="新宋体" w:hAnsi="新宋体" w:eastAsia="新宋体" w:cs="新宋体"/>
          <w:b/>
          <w:sz w:val="32"/>
        </w:rPr>
      </w:pPr>
      <w:r>
        <w:rPr>
          <w:rFonts w:hint="eastAsia" w:ascii="新宋体" w:hAnsi="新宋体" w:eastAsia="新宋体" w:cs="新宋体"/>
          <w:szCs w:val="24"/>
        </w:rPr>
        <w:br w:type="page"/>
      </w:r>
      <w:r>
        <w:rPr>
          <w:rFonts w:hint="eastAsia" w:ascii="新宋体" w:hAnsi="新宋体" w:eastAsia="新宋体" w:cs="新宋体"/>
          <w:b/>
          <w:sz w:val="36"/>
          <w:szCs w:val="36"/>
        </w:rPr>
        <w:t xml:space="preserve"> 二、技术部分</w:t>
      </w: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ind w:firstLine="420"/>
        <w:rPr>
          <w:rFonts w:hint="eastAsia" w:ascii="新宋体" w:hAnsi="新宋体" w:eastAsia="新宋体" w:cs="新宋体"/>
          <w:b/>
          <w:sz w:val="32"/>
        </w:rPr>
      </w:pPr>
    </w:p>
    <w:p>
      <w:pPr>
        <w:pStyle w:val="11"/>
        <w:spacing w:line="420" w:lineRule="exact"/>
        <w:rPr>
          <w:rFonts w:hint="eastAsia" w:ascii="新宋体" w:hAnsi="新宋体" w:eastAsia="新宋体" w:cs="新宋体"/>
          <w:b/>
          <w:sz w:val="32"/>
        </w:rPr>
      </w:pPr>
    </w:p>
    <w:p>
      <w:pPr>
        <w:pStyle w:val="11"/>
        <w:spacing w:before="240"/>
        <w:jc w:val="center"/>
        <w:rPr>
          <w:rFonts w:hint="eastAsia" w:ascii="新宋体" w:hAnsi="新宋体" w:eastAsia="新宋体" w:cs="新宋体"/>
          <w:b/>
          <w:sz w:val="30"/>
        </w:rPr>
      </w:pPr>
      <w:r>
        <w:rPr>
          <w:rFonts w:hint="eastAsia" w:ascii="新宋体" w:hAnsi="新宋体" w:eastAsia="新宋体" w:cs="新宋体"/>
          <w:b/>
          <w:sz w:val="30"/>
        </w:rPr>
        <w:t>1、 技术规格偏离表</w:t>
      </w:r>
    </w:p>
    <w:p>
      <w:pPr>
        <w:pStyle w:val="11"/>
        <w:spacing w:before="240"/>
        <w:ind w:firstLine="310" w:firstLineChars="147"/>
        <w:rPr>
          <w:rFonts w:hint="eastAsia" w:ascii="新宋体" w:hAnsi="新宋体" w:eastAsia="新宋体" w:cs="新宋体"/>
          <w:b/>
          <w:szCs w:val="21"/>
        </w:rPr>
      </w:pPr>
    </w:p>
    <w:tbl>
      <w:tblPr>
        <w:tblStyle w:val="22"/>
        <w:tblW w:w="86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797"/>
        <w:gridCol w:w="3070"/>
        <w:gridCol w:w="2999"/>
        <w:gridCol w:w="1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 w:type="dxa"/>
            <w:vAlign w:val="center"/>
          </w:tcPr>
          <w:p>
            <w:pPr>
              <w:pStyle w:val="11"/>
              <w:spacing w:before="240"/>
              <w:jc w:val="center"/>
              <w:rPr>
                <w:rFonts w:hint="eastAsia" w:ascii="新宋体" w:hAnsi="新宋体" w:eastAsia="新宋体" w:cs="新宋体"/>
                <w:bCs/>
              </w:rPr>
            </w:pPr>
            <w:r>
              <w:rPr>
                <w:rFonts w:hint="eastAsia" w:ascii="新宋体" w:hAnsi="新宋体" w:eastAsia="新宋体" w:cs="新宋体"/>
                <w:bCs/>
              </w:rPr>
              <w:t>序号</w:t>
            </w:r>
          </w:p>
        </w:tc>
        <w:tc>
          <w:tcPr>
            <w:tcW w:w="797" w:type="dxa"/>
            <w:vAlign w:val="center"/>
          </w:tcPr>
          <w:p>
            <w:pPr>
              <w:pStyle w:val="11"/>
              <w:spacing w:before="240"/>
              <w:jc w:val="center"/>
              <w:rPr>
                <w:rFonts w:hint="eastAsia" w:ascii="新宋体" w:hAnsi="新宋体" w:eastAsia="新宋体" w:cs="新宋体"/>
                <w:bCs/>
              </w:rPr>
            </w:pPr>
            <w:r>
              <w:rPr>
                <w:rFonts w:hint="eastAsia" w:ascii="新宋体" w:hAnsi="新宋体" w:eastAsia="新宋体" w:cs="新宋体"/>
                <w:bCs/>
              </w:rPr>
              <w:t>名称</w:t>
            </w:r>
          </w:p>
        </w:tc>
        <w:tc>
          <w:tcPr>
            <w:tcW w:w="3070" w:type="dxa"/>
            <w:vAlign w:val="center"/>
          </w:tcPr>
          <w:p>
            <w:pPr>
              <w:pStyle w:val="11"/>
              <w:spacing w:before="240"/>
              <w:jc w:val="center"/>
              <w:rPr>
                <w:rFonts w:hint="eastAsia" w:ascii="新宋体" w:hAnsi="新宋体" w:eastAsia="新宋体" w:cs="新宋体"/>
                <w:b/>
                <w:sz w:val="32"/>
              </w:rPr>
            </w:pPr>
            <w:r>
              <w:rPr>
                <w:rFonts w:hint="eastAsia" w:ascii="新宋体" w:hAnsi="新宋体" w:eastAsia="新宋体" w:cs="新宋体"/>
                <w:bCs/>
              </w:rPr>
              <w:t>采购技术要求</w:t>
            </w:r>
          </w:p>
        </w:tc>
        <w:tc>
          <w:tcPr>
            <w:tcW w:w="2999" w:type="dxa"/>
            <w:vAlign w:val="center"/>
          </w:tcPr>
          <w:p>
            <w:pPr>
              <w:pStyle w:val="11"/>
              <w:spacing w:before="240"/>
              <w:jc w:val="center"/>
              <w:rPr>
                <w:rFonts w:hint="eastAsia" w:ascii="新宋体" w:hAnsi="新宋体" w:eastAsia="新宋体" w:cs="新宋体"/>
                <w:b/>
                <w:sz w:val="32"/>
              </w:rPr>
            </w:pPr>
            <w:r>
              <w:rPr>
                <w:rFonts w:hint="eastAsia" w:ascii="新宋体" w:hAnsi="新宋体" w:eastAsia="新宋体" w:cs="新宋体"/>
                <w:bCs/>
              </w:rPr>
              <w:t>竞标技术规格</w:t>
            </w:r>
          </w:p>
        </w:tc>
        <w:tc>
          <w:tcPr>
            <w:tcW w:w="1190" w:type="dxa"/>
            <w:vAlign w:val="center"/>
          </w:tcPr>
          <w:p>
            <w:pPr>
              <w:pStyle w:val="11"/>
              <w:spacing w:before="240"/>
              <w:jc w:val="center"/>
              <w:rPr>
                <w:rFonts w:hint="eastAsia" w:ascii="新宋体" w:hAnsi="新宋体" w:eastAsia="新宋体" w:cs="新宋体"/>
                <w:bCs/>
              </w:rPr>
            </w:pPr>
            <w:r>
              <w:rPr>
                <w:rFonts w:hint="eastAsia" w:ascii="新宋体" w:hAnsi="新宋体" w:eastAsia="新宋体" w:cs="新宋体"/>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8" w:hRule="atLeast"/>
        </w:trPr>
        <w:tc>
          <w:tcPr>
            <w:tcW w:w="613" w:type="dxa"/>
          </w:tcPr>
          <w:p>
            <w:pPr>
              <w:pStyle w:val="11"/>
              <w:spacing w:before="240"/>
              <w:jc w:val="center"/>
              <w:rPr>
                <w:rFonts w:hint="eastAsia" w:ascii="新宋体" w:hAnsi="新宋体" w:eastAsia="新宋体" w:cs="新宋体"/>
                <w:b/>
                <w:sz w:val="32"/>
              </w:rPr>
            </w:pPr>
          </w:p>
        </w:tc>
        <w:tc>
          <w:tcPr>
            <w:tcW w:w="797" w:type="dxa"/>
          </w:tcPr>
          <w:p>
            <w:pPr>
              <w:pStyle w:val="11"/>
              <w:spacing w:before="240"/>
              <w:jc w:val="center"/>
              <w:rPr>
                <w:rFonts w:hint="eastAsia" w:ascii="新宋体" w:hAnsi="新宋体" w:eastAsia="新宋体" w:cs="新宋体"/>
                <w:b/>
                <w:sz w:val="32"/>
              </w:rPr>
            </w:pPr>
          </w:p>
        </w:tc>
        <w:tc>
          <w:tcPr>
            <w:tcW w:w="3070" w:type="dxa"/>
          </w:tcPr>
          <w:p>
            <w:pPr>
              <w:pStyle w:val="11"/>
              <w:spacing w:before="240"/>
              <w:jc w:val="center"/>
              <w:rPr>
                <w:rFonts w:hint="eastAsia" w:ascii="新宋体" w:hAnsi="新宋体" w:eastAsia="新宋体" w:cs="新宋体"/>
                <w:b/>
                <w:sz w:val="32"/>
              </w:rPr>
            </w:pPr>
          </w:p>
        </w:tc>
        <w:tc>
          <w:tcPr>
            <w:tcW w:w="2999" w:type="dxa"/>
          </w:tcPr>
          <w:p>
            <w:pPr>
              <w:pStyle w:val="11"/>
              <w:spacing w:before="240"/>
              <w:jc w:val="center"/>
              <w:rPr>
                <w:rFonts w:hint="eastAsia" w:ascii="新宋体" w:hAnsi="新宋体" w:eastAsia="新宋体" w:cs="新宋体"/>
                <w:b/>
                <w:sz w:val="32"/>
              </w:rPr>
            </w:pPr>
          </w:p>
        </w:tc>
        <w:tc>
          <w:tcPr>
            <w:tcW w:w="1190" w:type="dxa"/>
          </w:tcPr>
          <w:p>
            <w:pPr>
              <w:pStyle w:val="11"/>
              <w:spacing w:before="240"/>
              <w:jc w:val="center"/>
              <w:rPr>
                <w:rFonts w:hint="eastAsia" w:ascii="新宋体" w:hAnsi="新宋体" w:eastAsia="新宋体" w:cs="新宋体"/>
                <w:b/>
                <w:sz w:val="32"/>
              </w:rPr>
            </w:pPr>
          </w:p>
        </w:tc>
      </w:tr>
    </w:tbl>
    <w:p>
      <w:pPr>
        <w:pStyle w:val="11"/>
        <w:spacing w:before="240"/>
        <w:rPr>
          <w:rFonts w:hint="eastAsia" w:ascii="新宋体" w:hAnsi="新宋体" w:eastAsia="新宋体" w:cs="新宋体"/>
          <w:b/>
        </w:rPr>
      </w:pPr>
      <w:r>
        <w:rPr>
          <w:rFonts w:hint="eastAsia" w:ascii="新宋体" w:hAnsi="新宋体" w:eastAsia="新宋体" w:cs="新宋体"/>
          <w:b/>
        </w:rPr>
        <w:t>注：</w:t>
      </w:r>
    </w:p>
    <w:p>
      <w:pPr>
        <w:pStyle w:val="11"/>
        <w:numPr>
          <w:ilvl w:val="0"/>
          <w:numId w:val="4"/>
        </w:numPr>
        <w:spacing w:before="240"/>
        <w:rPr>
          <w:rFonts w:hint="eastAsia" w:ascii="新宋体" w:hAnsi="新宋体" w:eastAsia="新宋体" w:cs="新宋体"/>
          <w:bCs/>
        </w:rPr>
      </w:pPr>
      <w:r>
        <w:rPr>
          <w:rFonts w:hint="eastAsia" w:ascii="新宋体" w:hAnsi="新宋体" w:eastAsia="新宋体" w:cs="新宋体"/>
          <w:bCs/>
        </w:rPr>
        <w:t>竞标技术规格由竞标人按照响应文件货物需求一览表对应的技术参数及性能进行填写。</w:t>
      </w:r>
    </w:p>
    <w:p>
      <w:pPr>
        <w:pStyle w:val="11"/>
        <w:numPr>
          <w:ilvl w:val="0"/>
          <w:numId w:val="4"/>
        </w:numPr>
        <w:spacing w:before="240"/>
        <w:rPr>
          <w:rFonts w:hint="eastAsia" w:ascii="新宋体" w:hAnsi="新宋体" w:eastAsia="新宋体" w:cs="新宋体"/>
          <w:bCs/>
        </w:rPr>
      </w:pPr>
      <w:r>
        <w:rPr>
          <w:rFonts w:hint="eastAsia" w:ascii="新宋体" w:hAnsi="新宋体" w:eastAsia="新宋体" w:cs="新宋体"/>
          <w:bCs/>
        </w:rPr>
        <w:t>此表竞标技术规格与竞标报价表和产品检验报告证书的技术指标不符的，以产品检验报告证书的技术指标为准。</w:t>
      </w:r>
    </w:p>
    <w:p>
      <w:pPr>
        <w:pStyle w:val="11"/>
        <w:numPr>
          <w:ilvl w:val="0"/>
          <w:numId w:val="4"/>
        </w:numPr>
        <w:spacing w:before="240"/>
        <w:rPr>
          <w:rFonts w:hint="eastAsia" w:ascii="新宋体" w:hAnsi="新宋体" w:eastAsia="新宋体" w:cs="新宋体"/>
          <w:bCs/>
        </w:rPr>
      </w:pPr>
      <w:r>
        <w:rPr>
          <w:rFonts w:hint="eastAsia" w:ascii="新宋体" w:hAnsi="新宋体" w:eastAsia="新宋体" w:cs="新宋体"/>
          <w:bCs/>
        </w:rPr>
        <w:t xml:space="preserve">竞标技术规格与采购技术要求相同的为无偏离，竞标技术规格高于采购技术要求的为正偏离，低于采购技术要求的为负偏离。 </w:t>
      </w:r>
    </w:p>
    <w:p>
      <w:pPr>
        <w:pStyle w:val="11"/>
        <w:rPr>
          <w:rFonts w:hint="eastAsia" w:ascii="新宋体" w:hAnsi="新宋体" w:eastAsia="新宋体" w:cs="新宋体"/>
          <w:bCs/>
          <w:sz w:val="24"/>
        </w:rPr>
      </w:pPr>
    </w:p>
    <w:p>
      <w:pPr>
        <w:pStyle w:val="11"/>
        <w:rPr>
          <w:rFonts w:hint="eastAsia" w:ascii="新宋体" w:hAnsi="新宋体" w:eastAsia="新宋体" w:cs="新宋体"/>
          <w:u w:val="single"/>
        </w:rPr>
      </w:pPr>
      <w:r>
        <w:rPr>
          <w:rFonts w:hint="eastAsia" w:ascii="新宋体" w:hAnsi="新宋体" w:eastAsia="新宋体" w:cs="新宋体"/>
        </w:rPr>
        <w:t>竞标人盖公章：</w:t>
      </w:r>
    </w:p>
    <w:p>
      <w:pPr>
        <w:pStyle w:val="11"/>
        <w:jc w:val="center"/>
        <w:rPr>
          <w:rFonts w:hint="eastAsia" w:ascii="新宋体" w:hAnsi="新宋体" w:eastAsia="新宋体" w:cs="新宋体"/>
        </w:rPr>
      </w:pPr>
    </w:p>
    <w:p>
      <w:pPr>
        <w:pStyle w:val="11"/>
        <w:rPr>
          <w:rFonts w:hint="eastAsia" w:ascii="新宋体" w:hAnsi="新宋体" w:eastAsia="新宋体" w:cs="新宋体"/>
          <w:u w:val="single"/>
        </w:rPr>
      </w:pPr>
      <w:r>
        <w:rPr>
          <w:rFonts w:hint="eastAsia" w:ascii="新宋体" w:hAnsi="新宋体" w:eastAsia="新宋体" w:cs="新宋体"/>
        </w:rPr>
        <w:t>法定代表人（负责人）或委托代理人签字：</w:t>
      </w:r>
    </w:p>
    <w:p>
      <w:pPr>
        <w:pStyle w:val="11"/>
        <w:jc w:val="center"/>
        <w:rPr>
          <w:rFonts w:hint="eastAsia" w:ascii="新宋体" w:hAnsi="新宋体" w:eastAsia="新宋体" w:cs="新宋体"/>
          <w:u w:val="single"/>
        </w:rPr>
      </w:pPr>
    </w:p>
    <w:p>
      <w:pPr>
        <w:pStyle w:val="11"/>
        <w:rPr>
          <w:rFonts w:hint="eastAsia" w:ascii="新宋体" w:hAnsi="新宋体" w:eastAsia="新宋体" w:cs="新宋体"/>
          <w:u w:val="single"/>
        </w:rPr>
      </w:pPr>
      <w:r>
        <w:rPr>
          <w:rFonts w:hint="eastAsia" w:ascii="新宋体" w:hAnsi="新宋体" w:eastAsia="新宋体" w:cs="新宋体"/>
        </w:rPr>
        <w:t>日期：</w:t>
      </w:r>
    </w:p>
    <w:p>
      <w:pPr>
        <w:pStyle w:val="11"/>
        <w:rPr>
          <w:rFonts w:hint="eastAsia" w:ascii="新宋体" w:hAnsi="新宋体" w:eastAsia="新宋体" w:cs="新宋体"/>
          <w:bCs/>
        </w:rPr>
      </w:pPr>
      <w:r>
        <w:rPr>
          <w:rFonts w:hint="eastAsia" w:ascii="新宋体" w:hAnsi="新宋体" w:eastAsia="新宋体" w:cs="新宋体"/>
          <w:bCs/>
        </w:rPr>
        <w:br w:type="page"/>
      </w:r>
    </w:p>
    <w:p>
      <w:pPr>
        <w:pStyle w:val="11"/>
        <w:spacing w:before="240"/>
        <w:rPr>
          <w:rFonts w:hint="eastAsia" w:ascii="新宋体" w:hAnsi="新宋体" w:eastAsia="新宋体" w:cs="新宋体"/>
          <w:b/>
          <w:sz w:val="32"/>
        </w:rPr>
      </w:pPr>
      <w:r>
        <w:rPr>
          <w:rFonts w:hint="eastAsia" w:ascii="新宋体" w:hAnsi="新宋体" w:eastAsia="新宋体" w:cs="新宋体"/>
          <w:b/>
          <w:sz w:val="32"/>
        </w:rPr>
        <w:t xml:space="preserve">                   三、其他</w:t>
      </w:r>
    </w:p>
    <w:p>
      <w:pPr>
        <w:pStyle w:val="11"/>
        <w:jc w:val="center"/>
        <w:rPr>
          <w:rFonts w:hint="eastAsia" w:ascii="新宋体" w:hAnsi="新宋体" w:eastAsia="新宋体" w:cs="新宋体"/>
          <w:b/>
          <w:sz w:val="32"/>
        </w:rPr>
      </w:pPr>
    </w:p>
    <w:p>
      <w:pPr>
        <w:pStyle w:val="11"/>
        <w:jc w:val="center"/>
        <w:rPr>
          <w:rFonts w:hint="eastAsia" w:ascii="新宋体" w:hAnsi="新宋体" w:eastAsia="新宋体" w:cs="新宋体"/>
          <w:b/>
          <w:sz w:val="32"/>
        </w:rPr>
      </w:pPr>
    </w:p>
    <w:p>
      <w:pPr>
        <w:pStyle w:val="11"/>
        <w:jc w:val="center"/>
        <w:rPr>
          <w:rFonts w:hint="eastAsia" w:ascii="新宋体" w:hAnsi="新宋体" w:eastAsia="新宋体" w:cs="新宋体"/>
          <w:b/>
          <w:sz w:val="32"/>
        </w:rPr>
      </w:pPr>
    </w:p>
    <w:p>
      <w:pPr>
        <w:pStyle w:val="11"/>
        <w:jc w:val="center"/>
        <w:rPr>
          <w:rFonts w:hint="eastAsia" w:ascii="新宋体" w:hAnsi="新宋体" w:eastAsia="新宋体" w:cs="新宋体"/>
          <w:b/>
          <w:sz w:val="32"/>
        </w:rPr>
      </w:pPr>
    </w:p>
    <w:p>
      <w:pPr>
        <w:pStyle w:val="11"/>
        <w:jc w:val="left"/>
        <w:rPr>
          <w:rFonts w:hint="eastAsia" w:ascii="新宋体" w:hAnsi="新宋体" w:eastAsia="新宋体" w:cs="新宋体"/>
          <w:b/>
        </w:rPr>
      </w:pPr>
    </w:p>
    <w:p>
      <w:pPr>
        <w:pStyle w:val="11"/>
        <w:jc w:val="left"/>
        <w:rPr>
          <w:rFonts w:hint="eastAsia" w:ascii="新宋体" w:hAnsi="新宋体" w:eastAsia="新宋体" w:cs="新宋体"/>
          <w:b/>
        </w:rPr>
      </w:pPr>
    </w:p>
    <w:p>
      <w:pPr>
        <w:pStyle w:val="11"/>
        <w:jc w:val="left"/>
        <w:rPr>
          <w:rFonts w:hint="eastAsia" w:ascii="新宋体" w:hAnsi="新宋体" w:eastAsia="新宋体" w:cs="新宋体"/>
        </w:rPr>
      </w:pPr>
    </w:p>
    <w:p>
      <w:pPr>
        <w:pStyle w:val="11"/>
        <w:jc w:val="left"/>
        <w:rPr>
          <w:rFonts w:hint="eastAsia" w:ascii="新宋体" w:hAnsi="新宋体" w:eastAsia="新宋体" w:cs="新宋体"/>
        </w:rPr>
      </w:pPr>
    </w:p>
    <w:p>
      <w:pPr>
        <w:pStyle w:val="11"/>
        <w:jc w:val="left"/>
        <w:rPr>
          <w:rFonts w:hint="eastAsia" w:ascii="新宋体" w:hAnsi="新宋体" w:eastAsia="新宋体" w:cs="新宋体"/>
        </w:rPr>
      </w:pPr>
    </w:p>
    <w:p>
      <w:pPr>
        <w:pStyle w:val="11"/>
        <w:jc w:val="left"/>
        <w:rPr>
          <w:rFonts w:hint="eastAsia" w:ascii="新宋体" w:hAnsi="新宋体" w:eastAsia="新宋体" w:cs="新宋体"/>
        </w:rPr>
      </w:pPr>
    </w:p>
    <w:p>
      <w:pPr>
        <w:pStyle w:val="11"/>
        <w:jc w:val="left"/>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pStyle w:val="11"/>
        <w:rPr>
          <w:rFonts w:hint="eastAsia" w:ascii="新宋体" w:hAnsi="新宋体" w:eastAsia="新宋体" w:cs="新宋体"/>
        </w:rPr>
      </w:pPr>
    </w:p>
    <w:p>
      <w:pPr>
        <w:ind w:firstLine="210"/>
        <w:rPr>
          <w:rFonts w:hint="eastAsia" w:ascii="新宋体" w:hAnsi="新宋体" w:eastAsia="新宋体" w:cs="新宋体"/>
          <w:u w:val="single"/>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jc w:val="center"/>
        <w:rPr>
          <w:rFonts w:hint="eastAsia" w:ascii="新宋体" w:hAnsi="新宋体" w:eastAsia="新宋体" w:cs="新宋体"/>
          <w:sz w:val="44"/>
        </w:rPr>
      </w:pPr>
    </w:p>
    <w:p>
      <w:pPr>
        <w:spacing w:line="540" w:lineRule="exact"/>
        <w:rPr>
          <w:rFonts w:hint="eastAsia" w:ascii="新宋体" w:hAnsi="新宋体" w:eastAsia="新宋体" w:cs="新宋体"/>
          <w:sz w:val="44"/>
        </w:rPr>
      </w:pPr>
    </w:p>
    <w:p>
      <w:pPr>
        <w:pStyle w:val="3"/>
        <w:spacing w:before="340" w:after="330"/>
        <w:jc w:val="center"/>
        <w:rPr>
          <w:rFonts w:hint="eastAsia" w:ascii="新宋体" w:hAnsi="新宋体" w:eastAsia="新宋体" w:cs="新宋体"/>
        </w:rPr>
      </w:pPr>
      <w:bookmarkStart w:id="126" w:name="_Toc19547"/>
      <w:bookmarkStart w:id="127" w:name="_Toc4031"/>
      <w:bookmarkStart w:id="128" w:name="_Toc667"/>
      <w:r>
        <w:rPr>
          <w:rStyle w:val="37"/>
          <w:rFonts w:hint="eastAsia" w:ascii="新宋体" w:hAnsi="新宋体" w:eastAsia="新宋体" w:cs="新宋体"/>
          <w:b/>
          <w:bCs/>
        </w:rPr>
        <w:t>第七章  评定成交的标准</w:t>
      </w:r>
      <w:r>
        <w:rPr>
          <w:rFonts w:hint="eastAsia" w:ascii="新宋体" w:hAnsi="新宋体" w:eastAsia="新宋体" w:cs="新宋体"/>
        </w:rPr>
        <w:br w:type="page"/>
      </w:r>
      <w:r>
        <w:rPr>
          <w:rFonts w:hint="eastAsia" w:ascii="新宋体" w:hAnsi="新宋体" w:eastAsia="新宋体" w:cs="新宋体"/>
        </w:rPr>
        <w:t>评定成交的标准</w:t>
      </w:r>
      <w:bookmarkEnd w:id="126"/>
      <w:bookmarkEnd w:id="127"/>
      <w:bookmarkEnd w:id="128"/>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一、评标原则</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 xml:space="preserve"> (一)谈判小组构成：本项目的谈判小组由采购人代表和有关技术、经济等方面的专家组成。成员人数应当为三人以上（含三人）单数。其中，技术、经济等方面的专家不得少于成员总数的三分之二。</w:t>
      </w:r>
    </w:p>
    <w:p>
      <w:pPr>
        <w:pStyle w:val="11"/>
        <w:spacing w:line="460" w:lineRule="exact"/>
        <w:ind w:firstLine="525" w:firstLineChars="249"/>
        <w:rPr>
          <w:rFonts w:hint="eastAsia" w:ascii="新宋体" w:hAnsi="新宋体" w:eastAsia="新宋体" w:cs="新宋体"/>
          <w:b/>
        </w:rPr>
      </w:pPr>
      <w:r>
        <w:rPr>
          <w:rFonts w:hint="eastAsia" w:ascii="新宋体" w:hAnsi="新宋体" w:eastAsia="新宋体" w:cs="新宋体"/>
          <w:b/>
        </w:rPr>
        <w:t>(二)评标依据：谈判小组将以竞争性谈判文件和响应文件为评定依据进行评审。</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 xml:space="preserve"> (三)评标方法：合理低价中标法。</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四）谈判小组必须坚持公平、公正、科学和择优的原则。谈判小组应按谈判文件进行评标，不得擅自更改评标办法。在评审过程中，谈判小组任何人不得对某个竞标人发表任何倾向性意见，不得向其他谈判小组成员明示或者暗示自己的评审意见。</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二、成交候选人推荐原则</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（一）、小型和微型企业最终报价扣除计算。</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按照《政府采购促进中小企业发展暂行办法》（财库[2011]181号），响应供应商认定为小型和微型企业（以响应文件提供的符合规定的有关证明材料为准）且所投产品均为小型和微型企业产品的，对最后报价给予6%的扣除，扣除后的价格为评标报价，即评标报价=最终报价×（1-6%）；大中型企业与小型、微型企业组成联合体竞标，其中小型、微型企业的协议合同金额占到联合体协议合同总金额30%以上的，联合体最终报价给予2%的扣除，扣除后的价格为评标报价，即评标报价=投标价×（1-2%）；除上述情况外，评标报价=最终报价。</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（二）推荐原则</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谈判小组应当从质量和服务均能满足谈判文件实质性响应要求的竞标人中，按照评标报价由低到高的顺序提出3名以上成交候选人（报价相同时，依次按节能环保和自主创新产品优先、技术指标高优先、质量保证期长优先、交货期短优先、故障响应时间短优先的顺序排列）,并编写评审报告。</w:t>
      </w:r>
    </w:p>
    <w:p>
      <w:pPr>
        <w:pStyle w:val="11"/>
        <w:spacing w:line="460" w:lineRule="exact"/>
        <w:ind w:firstLine="422" w:firstLineChars="200"/>
        <w:rPr>
          <w:rFonts w:hint="eastAsia" w:ascii="新宋体" w:hAnsi="新宋体" w:eastAsia="新宋体" w:cs="新宋体"/>
          <w:b/>
        </w:rPr>
      </w:pPr>
      <w:r>
        <w:rPr>
          <w:rFonts w:hint="eastAsia" w:ascii="新宋体" w:hAnsi="新宋体" w:eastAsia="新宋体" w:cs="新宋体"/>
          <w:b/>
        </w:rPr>
        <w:t>谈判小组成员对需要共同认定的事项存在争议的，按照少数服从多数的原则作出结论。持不同意见的谈判小组成员应当在评审报告上签署不同意见并说明理由，否则视为同意。</w:t>
      </w:r>
    </w:p>
    <w:p>
      <w:pPr>
        <w:pStyle w:val="11"/>
        <w:rPr>
          <w:rFonts w:hint="eastAsia" w:ascii="新宋体" w:hAnsi="新宋体" w:eastAsia="新宋体" w:cs="新宋体"/>
          <w:b/>
          <w:bCs/>
          <w:szCs w:val="21"/>
        </w:rPr>
      </w:pPr>
    </w:p>
    <w:p>
      <w:pPr>
        <w:rPr>
          <w:rFonts w:hint="eastAsia" w:ascii="新宋体" w:hAnsi="新宋体" w:eastAsia="新宋体" w:cs="新宋体"/>
        </w:rPr>
      </w:pPr>
    </w:p>
    <w:sectPr>
      <w:footerReference r:id="rId7" w:type="first"/>
      <w:footerReference r:id="rId6" w:type="default"/>
      <w:pgSz w:w="11906" w:h="16838"/>
      <w:pgMar w:top="1440" w:right="1800" w:bottom="1440" w:left="1800"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roma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font-weight : 400">
    <w:altName w:val="Courier New"/>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方正兰亭黑简体">
    <w:altName w:val="宋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pPr>
    <w:r>
      <w:rPr>
        <w:sz w:val="18"/>
      </w:rPr>
      <w:pict>
        <v:shape id="_x0000_s2051" o:spid="_x0000_s205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w:pict>
        <v:shape id="_x0000_s2052" o:spid="_x0000_s2052"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12" w:lineRule="auto"/>
      <w:ind w:left="-571" w:leftChars="-272" w:firstLine="210" w:firstLineChars="100"/>
      <w:jc w:val="center"/>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7F7F7F"/>
        <w:sz w:val="18"/>
        <w:szCs w:val="18"/>
        <w:u w:val="single"/>
        <w:lang w:eastAsia="zh-CN"/>
      </w:rPr>
      <w:t>灵山县檀圩镇中心校特殊教育资源教室设备采购</w:t>
    </w:r>
    <w:r>
      <w:rPr>
        <w:rFonts w:hint="eastAsia" w:ascii="宋体" w:hAnsi="宋体" w:eastAsia="宋体" w:cs="宋体"/>
        <w:color w:val="7F7F7F"/>
        <w:sz w:val="18"/>
        <w:szCs w:val="18"/>
        <w:u w:val="single"/>
      </w:rPr>
      <w:t xml:space="preserve">    </w:t>
    </w:r>
    <w:r>
      <w:rPr>
        <w:rFonts w:hint="eastAsia" w:ascii="宋体" w:hAnsi="宋体" w:eastAsia="宋体" w:cs="宋体"/>
        <w:color w:val="7F7F7F"/>
        <w:sz w:val="18"/>
        <w:szCs w:val="18"/>
        <w:u w:val="single"/>
        <w:lang w:val="en-US" w:eastAsia="zh-CN"/>
      </w:rPr>
      <w:t xml:space="preserve">                </w:t>
    </w:r>
    <w:r>
      <w:rPr>
        <w:rFonts w:hint="eastAsia" w:ascii="宋体" w:hAnsi="宋体" w:eastAsia="宋体" w:cs="宋体"/>
        <w:color w:val="7F7F7F"/>
        <w:sz w:val="18"/>
        <w:szCs w:val="18"/>
        <w:u w:val="single"/>
      </w:rPr>
      <w:t xml:space="preserve">          </w:t>
    </w:r>
    <w:r>
      <w:rPr>
        <w:rFonts w:hint="eastAsia" w:ascii="宋体" w:hAnsi="宋体" w:eastAsia="宋体" w:cs="宋体"/>
        <w:color w:val="7F7F7F"/>
        <w:sz w:val="18"/>
        <w:szCs w:val="18"/>
        <w:u w:val="single"/>
        <w:lang w:eastAsia="zh-CN"/>
      </w:rPr>
      <w:t>QZZC2019-J1-2003-GXXL</w:t>
    </w:r>
    <w:r>
      <w:rPr>
        <w:rFonts w:hint="eastAsia" w:ascii="宋体" w:hAnsi="宋体" w:eastAsia="宋体" w:cs="宋体"/>
        <w:color w:val="7F7F7F"/>
        <w:sz w:val="18"/>
        <w:szCs w:val="18"/>
        <w:u w:val="singl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12" w:lineRule="auto"/>
      <w:ind w:left="-571" w:leftChars="-272" w:firstLine="180" w:firstLineChars="100"/>
      <w:jc w:val="center"/>
    </w:pPr>
    <w:r>
      <w:rPr>
        <w:rFonts w:hint="eastAsia" w:ascii="宋体" w:hAnsi="宋体" w:eastAsia="宋体" w:cs="宋体"/>
        <w:color w:val="7F7F7F"/>
        <w:sz w:val="18"/>
        <w:szCs w:val="18"/>
        <w:u w:val="single"/>
        <w:lang w:eastAsia="zh-CN"/>
      </w:rPr>
      <w:t>灵山县檀圩镇中心校特殊教育资源教室设备采购</w:t>
    </w:r>
    <w:r>
      <w:rPr>
        <w:rFonts w:hint="eastAsia" w:ascii="宋体" w:hAnsi="宋体" w:eastAsia="宋体" w:cs="宋体"/>
        <w:color w:val="7F7F7F"/>
        <w:sz w:val="18"/>
        <w:szCs w:val="18"/>
        <w:u w:val="single"/>
      </w:rPr>
      <w:t xml:space="preserve">    </w:t>
    </w:r>
    <w:r>
      <w:rPr>
        <w:rFonts w:hint="eastAsia" w:ascii="宋体" w:hAnsi="宋体" w:eastAsia="宋体" w:cs="宋体"/>
        <w:color w:val="7F7F7F"/>
        <w:sz w:val="18"/>
        <w:szCs w:val="18"/>
        <w:u w:val="single"/>
        <w:lang w:val="en-US" w:eastAsia="zh-CN"/>
      </w:rPr>
      <w:t xml:space="preserve">                </w:t>
    </w:r>
    <w:r>
      <w:rPr>
        <w:rFonts w:hint="eastAsia" w:ascii="宋体" w:hAnsi="宋体" w:eastAsia="宋体" w:cs="宋体"/>
        <w:color w:val="7F7F7F"/>
        <w:sz w:val="18"/>
        <w:szCs w:val="18"/>
        <w:u w:val="single"/>
      </w:rPr>
      <w:t xml:space="preserve">          </w:t>
    </w:r>
    <w:r>
      <w:rPr>
        <w:rFonts w:hint="eastAsia" w:ascii="宋体" w:hAnsi="宋体" w:eastAsia="宋体" w:cs="宋体"/>
        <w:color w:val="7F7F7F"/>
        <w:sz w:val="18"/>
        <w:szCs w:val="18"/>
        <w:u w:val="single"/>
        <w:lang w:eastAsia="zh-CN"/>
      </w:rPr>
      <w:t>QZZC2019-J1-2003-GXXL</w:t>
    </w:r>
    <w:r>
      <w:rPr>
        <w:rFonts w:hint="eastAsia" w:ascii="宋体" w:hAnsi="宋体" w:eastAsia="宋体" w:cs="宋体"/>
        <w:color w:val="7F7F7F"/>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869510"/>
    <w:multiLevelType w:val="singleLevel"/>
    <w:tmpl w:val="F7869510"/>
    <w:lvl w:ilvl="0" w:tentative="0">
      <w:start w:val="2"/>
      <w:numFmt w:val="chineseCounting"/>
      <w:suff w:val="space"/>
      <w:lvlText w:val="第%1章"/>
      <w:lvlJc w:val="left"/>
      <w:rPr>
        <w:rFonts w:hint="eastAsia"/>
      </w:rPr>
    </w:lvl>
  </w:abstractNum>
  <w:abstractNum w:abstractNumId="1">
    <w:nsid w:val="00000006"/>
    <w:multiLevelType w:val="multilevel"/>
    <w:tmpl w:val="00000006"/>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0000000D"/>
    <w:multiLevelType w:val="multilevel"/>
    <w:tmpl w:val="0000000D"/>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587B612B"/>
    <w:multiLevelType w:val="singleLevel"/>
    <w:tmpl w:val="587B612B"/>
    <w:lvl w:ilvl="0" w:tentative="0">
      <w:start w:val="5"/>
      <w:numFmt w:val="chineseCounting"/>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8DB5E2B"/>
    <w:rsid w:val="00001D5D"/>
    <w:rsid w:val="00020E32"/>
    <w:rsid w:val="00031038"/>
    <w:rsid w:val="000420A1"/>
    <w:rsid w:val="0004712F"/>
    <w:rsid w:val="00070DBD"/>
    <w:rsid w:val="00073D23"/>
    <w:rsid w:val="000741F5"/>
    <w:rsid w:val="000971A2"/>
    <w:rsid w:val="000A11C0"/>
    <w:rsid w:val="000A42D0"/>
    <w:rsid w:val="000C5E75"/>
    <w:rsid w:val="000D6C0A"/>
    <w:rsid w:val="000F0D30"/>
    <w:rsid w:val="00112E19"/>
    <w:rsid w:val="0012272E"/>
    <w:rsid w:val="00133C02"/>
    <w:rsid w:val="00135A81"/>
    <w:rsid w:val="00154BBA"/>
    <w:rsid w:val="00164CF0"/>
    <w:rsid w:val="001B387B"/>
    <w:rsid w:val="001B48D7"/>
    <w:rsid w:val="001B564C"/>
    <w:rsid w:val="001C0652"/>
    <w:rsid w:val="001C2B77"/>
    <w:rsid w:val="001D5F21"/>
    <w:rsid w:val="001E3CF3"/>
    <w:rsid w:val="00207093"/>
    <w:rsid w:val="00236D07"/>
    <w:rsid w:val="002439FE"/>
    <w:rsid w:val="00274492"/>
    <w:rsid w:val="00290190"/>
    <w:rsid w:val="002B350B"/>
    <w:rsid w:val="002C0E34"/>
    <w:rsid w:val="002E516F"/>
    <w:rsid w:val="002F5C9C"/>
    <w:rsid w:val="003314CD"/>
    <w:rsid w:val="0033241C"/>
    <w:rsid w:val="0035122E"/>
    <w:rsid w:val="00375EC1"/>
    <w:rsid w:val="0037713B"/>
    <w:rsid w:val="0038067B"/>
    <w:rsid w:val="003A0E4C"/>
    <w:rsid w:val="003A269B"/>
    <w:rsid w:val="003B1D93"/>
    <w:rsid w:val="003B29CB"/>
    <w:rsid w:val="003C35F5"/>
    <w:rsid w:val="003F60ED"/>
    <w:rsid w:val="00407A61"/>
    <w:rsid w:val="0043648B"/>
    <w:rsid w:val="00451E50"/>
    <w:rsid w:val="00456D40"/>
    <w:rsid w:val="00470A31"/>
    <w:rsid w:val="004929A4"/>
    <w:rsid w:val="004C1AFF"/>
    <w:rsid w:val="004D638C"/>
    <w:rsid w:val="004E1983"/>
    <w:rsid w:val="004F532A"/>
    <w:rsid w:val="004F6D4A"/>
    <w:rsid w:val="005373DB"/>
    <w:rsid w:val="00540A3E"/>
    <w:rsid w:val="00541E9D"/>
    <w:rsid w:val="005500CE"/>
    <w:rsid w:val="00561635"/>
    <w:rsid w:val="005811A0"/>
    <w:rsid w:val="00590051"/>
    <w:rsid w:val="005E7891"/>
    <w:rsid w:val="005F2598"/>
    <w:rsid w:val="005F4B66"/>
    <w:rsid w:val="005F6666"/>
    <w:rsid w:val="00606E3E"/>
    <w:rsid w:val="006121BB"/>
    <w:rsid w:val="006171CB"/>
    <w:rsid w:val="00635E8C"/>
    <w:rsid w:val="006364CD"/>
    <w:rsid w:val="00655DA0"/>
    <w:rsid w:val="00660107"/>
    <w:rsid w:val="0066157C"/>
    <w:rsid w:val="006841B6"/>
    <w:rsid w:val="006E087D"/>
    <w:rsid w:val="006E6BFF"/>
    <w:rsid w:val="006F10A2"/>
    <w:rsid w:val="0072044C"/>
    <w:rsid w:val="00733412"/>
    <w:rsid w:val="007408F6"/>
    <w:rsid w:val="00740AB8"/>
    <w:rsid w:val="007465C7"/>
    <w:rsid w:val="00751941"/>
    <w:rsid w:val="007806DC"/>
    <w:rsid w:val="00784EF1"/>
    <w:rsid w:val="007877A4"/>
    <w:rsid w:val="007971BA"/>
    <w:rsid w:val="00797B02"/>
    <w:rsid w:val="007C1768"/>
    <w:rsid w:val="007E1F11"/>
    <w:rsid w:val="007F2F38"/>
    <w:rsid w:val="007F39E4"/>
    <w:rsid w:val="00830375"/>
    <w:rsid w:val="008505DB"/>
    <w:rsid w:val="00866D09"/>
    <w:rsid w:val="00890C67"/>
    <w:rsid w:val="0089420B"/>
    <w:rsid w:val="008B1666"/>
    <w:rsid w:val="00900E5C"/>
    <w:rsid w:val="00914264"/>
    <w:rsid w:val="00931043"/>
    <w:rsid w:val="00955CA9"/>
    <w:rsid w:val="009745CE"/>
    <w:rsid w:val="00983663"/>
    <w:rsid w:val="0098725B"/>
    <w:rsid w:val="009A68DA"/>
    <w:rsid w:val="009A779F"/>
    <w:rsid w:val="009D3D24"/>
    <w:rsid w:val="009D4175"/>
    <w:rsid w:val="009F39C6"/>
    <w:rsid w:val="00A07EF7"/>
    <w:rsid w:val="00A145A4"/>
    <w:rsid w:val="00A157CF"/>
    <w:rsid w:val="00A16FB9"/>
    <w:rsid w:val="00A25689"/>
    <w:rsid w:val="00A26F74"/>
    <w:rsid w:val="00A357D0"/>
    <w:rsid w:val="00A35DDC"/>
    <w:rsid w:val="00A508DF"/>
    <w:rsid w:val="00A5255E"/>
    <w:rsid w:val="00A53508"/>
    <w:rsid w:val="00A642CA"/>
    <w:rsid w:val="00A74132"/>
    <w:rsid w:val="00A7473D"/>
    <w:rsid w:val="00A7591C"/>
    <w:rsid w:val="00A83061"/>
    <w:rsid w:val="00AA197C"/>
    <w:rsid w:val="00AE035F"/>
    <w:rsid w:val="00AE16A3"/>
    <w:rsid w:val="00AF2A10"/>
    <w:rsid w:val="00B11EF0"/>
    <w:rsid w:val="00B20A14"/>
    <w:rsid w:val="00B300E9"/>
    <w:rsid w:val="00B34DF2"/>
    <w:rsid w:val="00B35C91"/>
    <w:rsid w:val="00B469C7"/>
    <w:rsid w:val="00B52752"/>
    <w:rsid w:val="00B55232"/>
    <w:rsid w:val="00B57004"/>
    <w:rsid w:val="00B62253"/>
    <w:rsid w:val="00B63892"/>
    <w:rsid w:val="00B65700"/>
    <w:rsid w:val="00B67B6F"/>
    <w:rsid w:val="00B70325"/>
    <w:rsid w:val="00B818C2"/>
    <w:rsid w:val="00B9285A"/>
    <w:rsid w:val="00B92F14"/>
    <w:rsid w:val="00BA3CDD"/>
    <w:rsid w:val="00BD7C22"/>
    <w:rsid w:val="00C11B21"/>
    <w:rsid w:val="00CA0870"/>
    <w:rsid w:val="00CA42CA"/>
    <w:rsid w:val="00CA46AC"/>
    <w:rsid w:val="00CB0764"/>
    <w:rsid w:val="00CB28FC"/>
    <w:rsid w:val="00CD4DC2"/>
    <w:rsid w:val="00D01851"/>
    <w:rsid w:val="00D0643A"/>
    <w:rsid w:val="00D150A8"/>
    <w:rsid w:val="00D57B9F"/>
    <w:rsid w:val="00D62DB9"/>
    <w:rsid w:val="00D67522"/>
    <w:rsid w:val="00D71628"/>
    <w:rsid w:val="00D757F5"/>
    <w:rsid w:val="00D76F08"/>
    <w:rsid w:val="00DC58DB"/>
    <w:rsid w:val="00DE7ADF"/>
    <w:rsid w:val="00E024F7"/>
    <w:rsid w:val="00E13BBB"/>
    <w:rsid w:val="00E21D82"/>
    <w:rsid w:val="00E26D9F"/>
    <w:rsid w:val="00E36F83"/>
    <w:rsid w:val="00E7101F"/>
    <w:rsid w:val="00E743F4"/>
    <w:rsid w:val="00E801DA"/>
    <w:rsid w:val="00E839AA"/>
    <w:rsid w:val="00EC14FD"/>
    <w:rsid w:val="00EE5CBD"/>
    <w:rsid w:val="00EF6192"/>
    <w:rsid w:val="00F04E9E"/>
    <w:rsid w:val="00F060D2"/>
    <w:rsid w:val="00F11B40"/>
    <w:rsid w:val="00F176A2"/>
    <w:rsid w:val="00F61060"/>
    <w:rsid w:val="00F76E87"/>
    <w:rsid w:val="00F858A9"/>
    <w:rsid w:val="00F86234"/>
    <w:rsid w:val="00F94990"/>
    <w:rsid w:val="00FA66A4"/>
    <w:rsid w:val="00FB74E9"/>
    <w:rsid w:val="00FC2ED7"/>
    <w:rsid w:val="00FC3CAF"/>
    <w:rsid w:val="00FE00AE"/>
    <w:rsid w:val="00FE6780"/>
    <w:rsid w:val="00FE762D"/>
    <w:rsid w:val="00FF19FF"/>
    <w:rsid w:val="013B2F99"/>
    <w:rsid w:val="013E099D"/>
    <w:rsid w:val="015B611F"/>
    <w:rsid w:val="017B34E3"/>
    <w:rsid w:val="01841F41"/>
    <w:rsid w:val="01995A94"/>
    <w:rsid w:val="01A5084F"/>
    <w:rsid w:val="01E933DE"/>
    <w:rsid w:val="02180B17"/>
    <w:rsid w:val="02360A7A"/>
    <w:rsid w:val="023A11F4"/>
    <w:rsid w:val="028B700B"/>
    <w:rsid w:val="02A46637"/>
    <w:rsid w:val="02B46BD2"/>
    <w:rsid w:val="02FF05A1"/>
    <w:rsid w:val="034F38AC"/>
    <w:rsid w:val="037C62FE"/>
    <w:rsid w:val="039546BB"/>
    <w:rsid w:val="039E0127"/>
    <w:rsid w:val="03E0127A"/>
    <w:rsid w:val="04181B69"/>
    <w:rsid w:val="04266CE7"/>
    <w:rsid w:val="045B42FA"/>
    <w:rsid w:val="04BF1D26"/>
    <w:rsid w:val="04DC78D8"/>
    <w:rsid w:val="04E31F6C"/>
    <w:rsid w:val="05703887"/>
    <w:rsid w:val="0579329A"/>
    <w:rsid w:val="05A21224"/>
    <w:rsid w:val="061D7DDD"/>
    <w:rsid w:val="06343B0A"/>
    <w:rsid w:val="06374EE8"/>
    <w:rsid w:val="063A153C"/>
    <w:rsid w:val="065D68E4"/>
    <w:rsid w:val="06C55B78"/>
    <w:rsid w:val="06E91856"/>
    <w:rsid w:val="07830728"/>
    <w:rsid w:val="079F4208"/>
    <w:rsid w:val="07AB44D1"/>
    <w:rsid w:val="0809173E"/>
    <w:rsid w:val="08193BDF"/>
    <w:rsid w:val="083D0DA3"/>
    <w:rsid w:val="08635F86"/>
    <w:rsid w:val="08681980"/>
    <w:rsid w:val="08A873E4"/>
    <w:rsid w:val="0928435E"/>
    <w:rsid w:val="093B67AC"/>
    <w:rsid w:val="0997626E"/>
    <w:rsid w:val="09DF5CE1"/>
    <w:rsid w:val="0A19228F"/>
    <w:rsid w:val="0A2B511E"/>
    <w:rsid w:val="0A521429"/>
    <w:rsid w:val="0A572D23"/>
    <w:rsid w:val="0A5E15B4"/>
    <w:rsid w:val="0A6C5370"/>
    <w:rsid w:val="0A88370D"/>
    <w:rsid w:val="0AA668D7"/>
    <w:rsid w:val="0B536E83"/>
    <w:rsid w:val="0B5F2AB9"/>
    <w:rsid w:val="0B5F70BB"/>
    <w:rsid w:val="0B8B0056"/>
    <w:rsid w:val="0B936F4F"/>
    <w:rsid w:val="0B9B7636"/>
    <w:rsid w:val="0BAE507F"/>
    <w:rsid w:val="0BD53952"/>
    <w:rsid w:val="0BE84D5A"/>
    <w:rsid w:val="0C066A75"/>
    <w:rsid w:val="0C357DC0"/>
    <w:rsid w:val="0C5519DF"/>
    <w:rsid w:val="0CA34B25"/>
    <w:rsid w:val="0CFA1A81"/>
    <w:rsid w:val="0D260F71"/>
    <w:rsid w:val="0D380322"/>
    <w:rsid w:val="0D38060B"/>
    <w:rsid w:val="0D4322BA"/>
    <w:rsid w:val="0D6E0BC7"/>
    <w:rsid w:val="0D711581"/>
    <w:rsid w:val="0DA34EE1"/>
    <w:rsid w:val="0DA9126F"/>
    <w:rsid w:val="0E020A5B"/>
    <w:rsid w:val="0E1C2ED2"/>
    <w:rsid w:val="0E39521B"/>
    <w:rsid w:val="0E3D37EC"/>
    <w:rsid w:val="0E3D4E75"/>
    <w:rsid w:val="0E634172"/>
    <w:rsid w:val="0E7F02E9"/>
    <w:rsid w:val="0EA25F57"/>
    <w:rsid w:val="0EC712CC"/>
    <w:rsid w:val="0ED556A0"/>
    <w:rsid w:val="0EFB005A"/>
    <w:rsid w:val="0F090B77"/>
    <w:rsid w:val="0F55021F"/>
    <w:rsid w:val="0F5571DD"/>
    <w:rsid w:val="0F6935C3"/>
    <w:rsid w:val="0FDF5251"/>
    <w:rsid w:val="1005065D"/>
    <w:rsid w:val="101707E0"/>
    <w:rsid w:val="1019739E"/>
    <w:rsid w:val="10AA4A93"/>
    <w:rsid w:val="10B20B47"/>
    <w:rsid w:val="10C95CF7"/>
    <w:rsid w:val="10CC70AF"/>
    <w:rsid w:val="10DD152E"/>
    <w:rsid w:val="10F31ECE"/>
    <w:rsid w:val="11041E5A"/>
    <w:rsid w:val="11550B18"/>
    <w:rsid w:val="11561C89"/>
    <w:rsid w:val="11C33F2E"/>
    <w:rsid w:val="12292EF8"/>
    <w:rsid w:val="123216BB"/>
    <w:rsid w:val="12384C92"/>
    <w:rsid w:val="127A77CC"/>
    <w:rsid w:val="127D7B2A"/>
    <w:rsid w:val="12B45CA6"/>
    <w:rsid w:val="12EB4219"/>
    <w:rsid w:val="12F521E1"/>
    <w:rsid w:val="13090301"/>
    <w:rsid w:val="131322C6"/>
    <w:rsid w:val="13B7614B"/>
    <w:rsid w:val="13C85A4F"/>
    <w:rsid w:val="13CE27E7"/>
    <w:rsid w:val="13EC054E"/>
    <w:rsid w:val="14576710"/>
    <w:rsid w:val="14D05B63"/>
    <w:rsid w:val="14F77E97"/>
    <w:rsid w:val="150A5B8F"/>
    <w:rsid w:val="150F23CF"/>
    <w:rsid w:val="1536644F"/>
    <w:rsid w:val="15373927"/>
    <w:rsid w:val="155825D8"/>
    <w:rsid w:val="157A796B"/>
    <w:rsid w:val="15872316"/>
    <w:rsid w:val="15C34609"/>
    <w:rsid w:val="15CA13A8"/>
    <w:rsid w:val="16403952"/>
    <w:rsid w:val="168C65C9"/>
    <w:rsid w:val="16A50B18"/>
    <w:rsid w:val="16D47898"/>
    <w:rsid w:val="16DA7896"/>
    <w:rsid w:val="16ED39F7"/>
    <w:rsid w:val="17024E7D"/>
    <w:rsid w:val="17051E32"/>
    <w:rsid w:val="1765166C"/>
    <w:rsid w:val="177B3E06"/>
    <w:rsid w:val="17850F1D"/>
    <w:rsid w:val="178743D7"/>
    <w:rsid w:val="17F51196"/>
    <w:rsid w:val="17F851B0"/>
    <w:rsid w:val="182D06FC"/>
    <w:rsid w:val="183664A1"/>
    <w:rsid w:val="18391916"/>
    <w:rsid w:val="1888305D"/>
    <w:rsid w:val="18D93900"/>
    <w:rsid w:val="19461E42"/>
    <w:rsid w:val="1966765D"/>
    <w:rsid w:val="197B2171"/>
    <w:rsid w:val="198D5DCB"/>
    <w:rsid w:val="199C2ED8"/>
    <w:rsid w:val="19F316B6"/>
    <w:rsid w:val="1A35220B"/>
    <w:rsid w:val="1A5A524F"/>
    <w:rsid w:val="1A78212A"/>
    <w:rsid w:val="1A914AA0"/>
    <w:rsid w:val="1A9675C8"/>
    <w:rsid w:val="1AA40578"/>
    <w:rsid w:val="1AE71085"/>
    <w:rsid w:val="1AF40003"/>
    <w:rsid w:val="1B0A705C"/>
    <w:rsid w:val="1B337F17"/>
    <w:rsid w:val="1B6274AF"/>
    <w:rsid w:val="1BA11C16"/>
    <w:rsid w:val="1BB278FA"/>
    <w:rsid w:val="1BCC3337"/>
    <w:rsid w:val="1BD12D2C"/>
    <w:rsid w:val="1BFD593F"/>
    <w:rsid w:val="1C154C0D"/>
    <w:rsid w:val="1C26521E"/>
    <w:rsid w:val="1C4920CB"/>
    <w:rsid w:val="1C617291"/>
    <w:rsid w:val="1C792E94"/>
    <w:rsid w:val="1C8A7B72"/>
    <w:rsid w:val="1C9913D5"/>
    <w:rsid w:val="1CB60218"/>
    <w:rsid w:val="1CB854E1"/>
    <w:rsid w:val="1CBB161A"/>
    <w:rsid w:val="1CCA7DFE"/>
    <w:rsid w:val="1CCB7175"/>
    <w:rsid w:val="1CEE1E6D"/>
    <w:rsid w:val="1CEF6391"/>
    <w:rsid w:val="1CF92416"/>
    <w:rsid w:val="1D0F4129"/>
    <w:rsid w:val="1D2528C8"/>
    <w:rsid w:val="1D2A4BAC"/>
    <w:rsid w:val="1D435AE8"/>
    <w:rsid w:val="1D504B18"/>
    <w:rsid w:val="1D61621E"/>
    <w:rsid w:val="1D9C6DAF"/>
    <w:rsid w:val="1D9F159D"/>
    <w:rsid w:val="1DB13057"/>
    <w:rsid w:val="1DE0218A"/>
    <w:rsid w:val="1E5F53E4"/>
    <w:rsid w:val="1E7C13E4"/>
    <w:rsid w:val="1E9E3892"/>
    <w:rsid w:val="1F2B4E2F"/>
    <w:rsid w:val="1F7812F6"/>
    <w:rsid w:val="1F834231"/>
    <w:rsid w:val="1FD147BD"/>
    <w:rsid w:val="1FD21F1B"/>
    <w:rsid w:val="20024619"/>
    <w:rsid w:val="2005395B"/>
    <w:rsid w:val="20120752"/>
    <w:rsid w:val="203570C3"/>
    <w:rsid w:val="203F0C18"/>
    <w:rsid w:val="20684168"/>
    <w:rsid w:val="20E34172"/>
    <w:rsid w:val="213B53D1"/>
    <w:rsid w:val="214627CF"/>
    <w:rsid w:val="214F0085"/>
    <w:rsid w:val="21620024"/>
    <w:rsid w:val="21752B87"/>
    <w:rsid w:val="217A1086"/>
    <w:rsid w:val="21945282"/>
    <w:rsid w:val="21B86814"/>
    <w:rsid w:val="221F68CF"/>
    <w:rsid w:val="22313373"/>
    <w:rsid w:val="22501ACB"/>
    <w:rsid w:val="227B0860"/>
    <w:rsid w:val="22961DC0"/>
    <w:rsid w:val="23412998"/>
    <w:rsid w:val="23484CE9"/>
    <w:rsid w:val="23641D49"/>
    <w:rsid w:val="240575F5"/>
    <w:rsid w:val="24127BBE"/>
    <w:rsid w:val="242A5254"/>
    <w:rsid w:val="245D69E8"/>
    <w:rsid w:val="248E7201"/>
    <w:rsid w:val="24A01A70"/>
    <w:rsid w:val="24ED77CE"/>
    <w:rsid w:val="253D58BD"/>
    <w:rsid w:val="255D2CA3"/>
    <w:rsid w:val="25CA7196"/>
    <w:rsid w:val="25DC1739"/>
    <w:rsid w:val="25EF5067"/>
    <w:rsid w:val="26902752"/>
    <w:rsid w:val="269A7975"/>
    <w:rsid w:val="26AE5384"/>
    <w:rsid w:val="26EE191A"/>
    <w:rsid w:val="270D64B7"/>
    <w:rsid w:val="27190C99"/>
    <w:rsid w:val="27415200"/>
    <w:rsid w:val="27606824"/>
    <w:rsid w:val="2776333D"/>
    <w:rsid w:val="27A822C2"/>
    <w:rsid w:val="27BE0633"/>
    <w:rsid w:val="27E969FA"/>
    <w:rsid w:val="28327D35"/>
    <w:rsid w:val="28366599"/>
    <w:rsid w:val="283F322A"/>
    <w:rsid w:val="284165EB"/>
    <w:rsid w:val="28470184"/>
    <w:rsid w:val="28597C2E"/>
    <w:rsid w:val="28D22CB1"/>
    <w:rsid w:val="28F23BE3"/>
    <w:rsid w:val="291078E5"/>
    <w:rsid w:val="29AA170B"/>
    <w:rsid w:val="29CF07C2"/>
    <w:rsid w:val="29FB3843"/>
    <w:rsid w:val="2A0F69FE"/>
    <w:rsid w:val="2A1463B1"/>
    <w:rsid w:val="2A2E4054"/>
    <w:rsid w:val="2A352B05"/>
    <w:rsid w:val="2A44469E"/>
    <w:rsid w:val="2AA745E9"/>
    <w:rsid w:val="2AB53986"/>
    <w:rsid w:val="2AC429ED"/>
    <w:rsid w:val="2AE048B6"/>
    <w:rsid w:val="2AF1050A"/>
    <w:rsid w:val="2B011F03"/>
    <w:rsid w:val="2B0222D3"/>
    <w:rsid w:val="2B2C6CF8"/>
    <w:rsid w:val="2B4872E8"/>
    <w:rsid w:val="2B4D388E"/>
    <w:rsid w:val="2B993CCA"/>
    <w:rsid w:val="2BA424A0"/>
    <w:rsid w:val="2BBB2965"/>
    <w:rsid w:val="2BD040C8"/>
    <w:rsid w:val="2BD80B32"/>
    <w:rsid w:val="2C0A19B8"/>
    <w:rsid w:val="2C7C347B"/>
    <w:rsid w:val="2CA05B08"/>
    <w:rsid w:val="2D160CE4"/>
    <w:rsid w:val="2D2905A6"/>
    <w:rsid w:val="2D4E66F0"/>
    <w:rsid w:val="2D505BBF"/>
    <w:rsid w:val="2D8B3804"/>
    <w:rsid w:val="2DB0669C"/>
    <w:rsid w:val="2DCF474B"/>
    <w:rsid w:val="2DE64541"/>
    <w:rsid w:val="2DE835FD"/>
    <w:rsid w:val="2EED420A"/>
    <w:rsid w:val="2F006074"/>
    <w:rsid w:val="2F362FAF"/>
    <w:rsid w:val="2F6C5565"/>
    <w:rsid w:val="2F8D007C"/>
    <w:rsid w:val="2FA5589D"/>
    <w:rsid w:val="2FD30EEA"/>
    <w:rsid w:val="2FE54F94"/>
    <w:rsid w:val="2FEA5BD5"/>
    <w:rsid w:val="300046F4"/>
    <w:rsid w:val="302373C5"/>
    <w:rsid w:val="302A798F"/>
    <w:rsid w:val="304033C8"/>
    <w:rsid w:val="30A60B37"/>
    <w:rsid w:val="30AC3109"/>
    <w:rsid w:val="310A7E90"/>
    <w:rsid w:val="317F3737"/>
    <w:rsid w:val="31933213"/>
    <w:rsid w:val="319C653E"/>
    <w:rsid w:val="31B13642"/>
    <w:rsid w:val="31B7527E"/>
    <w:rsid w:val="31DC50E8"/>
    <w:rsid w:val="31EA421B"/>
    <w:rsid w:val="32223A90"/>
    <w:rsid w:val="32796289"/>
    <w:rsid w:val="328B37F4"/>
    <w:rsid w:val="32BB4ECE"/>
    <w:rsid w:val="32DE2D63"/>
    <w:rsid w:val="33586CF3"/>
    <w:rsid w:val="338B327D"/>
    <w:rsid w:val="33903712"/>
    <w:rsid w:val="33D7618E"/>
    <w:rsid w:val="33E201C8"/>
    <w:rsid w:val="340F2ED9"/>
    <w:rsid w:val="341342A6"/>
    <w:rsid w:val="34236B8E"/>
    <w:rsid w:val="3480764A"/>
    <w:rsid w:val="34DE3563"/>
    <w:rsid w:val="34E34370"/>
    <w:rsid w:val="3512410B"/>
    <w:rsid w:val="35231F59"/>
    <w:rsid w:val="35383A42"/>
    <w:rsid w:val="355A63A3"/>
    <w:rsid w:val="35845759"/>
    <w:rsid w:val="358D48A2"/>
    <w:rsid w:val="35914F00"/>
    <w:rsid w:val="35952A81"/>
    <w:rsid w:val="35A70B6F"/>
    <w:rsid w:val="35B430F9"/>
    <w:rsid w:val="35B842AD"/>
    <w:rsid w:val="35DE61B8"/>
    <w:rsid w:val="3601352A"/>
    <w:rsid w:val="36092CB2"/>
    <w:rsid w:val="36273198"/>
    <w:rsid w:val="36692452"/>
    <w:rsid w:val="36A145C8"/>
    <w:rsid w:val="36B36EA8"/>
    <w:rsid w:val="374E6250"/>
    <w:rsid w:val="378F29FD"/>
    <w:rsid w:val="379E312F"/>
    <w:rsid w:val="37AD5CA8"/>
    <w:rsid w:val="37B723FC"/>
    <w:rsid w:val="37BC194E"/>
    <w:rsid w:val="37C50AF6"/>
    <w:rsid w:val="37FF5661"/>
    <w:rsid w:val="381D4696"/>
    <w:rsid w:val="386871A1"/>
    <w:rsid w:val="389B1045"/>
    <w:rsid w:val="38A74750"/>
    <w:rsid w:val="38C9629F"/>
    <w:rsid w:val="38CD074C"/>
    <w:rsid w:val="38DE2C99"/>
    <w:rsid w:val="391F37A0"/>
    <w:rsid w:val="398A6BD6"/>
    <w:rsid w:val="39A169D5"/>
    <w:rsid w:val="39A35AD5"/>
    <w:rsid w:val="39A70391"/>
    <w:rsid w:val="39E656C2"/>
    <w:rsid w:val="3A263186"/>
    <w:rsid w:val="3A663E1F"/>
    <w:rsid w:val="3A9A1673"/>
    <w:rsid w:val="3ABE5F9D"/>
    <w:rsid w:val="3AD64635"/>
    <w:rsid w:val="3B062CB6"/>
    <w:rsid w:val="3B0A0473"/>
    <w:rsid w:val="3B574837"/>
    <w:rsid w:val="3B7743B8"/>
    <w:rsid w:val="3BB54CDF"/>
    <w:rsid w:val="3BDA4C91"/>
    <w:rsid w:val="3BE73103"/>
    <w:rsid w:val="3BFC48BD"/>
    <w:rsid w:val="3C1569B6"/>
    <w:rsid w:val="3C216D87"/>
    <w:rsid w:val="3C322824"/>
    <w:rsid w:val="3C453E0F"/>
    <w:rsid w:val="3C5A3939"/>
    <w:rsid w:val="3C6A7736"/>
    <w:rsid w:val="3CAC0EE0"/>
    <w:rsid w:val="3CAF2D94"/>
    <w:rsid w:val="3CD024EA"/>
    <w:rsid w:val="3CEC7DC4"/>
    <w:rsid w:val="3D1D2700"/>
    <w:rsid w:val="3D24266A"/>
    <w:rsid w:val="3D510200"/>
    <w:rsid w:val="3D804781"/>
    <w:rsid w:val="3D896BDD"/>
    <w:rsid w:val="3D8B585A"/>
    <w:rsid w:val="3D8B7F1D"/>
    <w:rsid w:val="3D967F6A"/>
    <w:rsid w:val="3DDB405D"/>
    <w:rsid w:val="3E097916"/>
    <w:rsid w:val="3E2770DD"/>
    <w:rsid w:val="3E320CE4"/>
    <w:rsid w:val="3EBD4266"/>
    <w:rsid w:val="3ED4613C"/>
    <w:rsid w:val="3F491010"/>
    <w:rsid w:val="3F4C6349"/>
    <w:rsid w:val="3F547319"/>
    <w:rsid w:val="3F701EAA"/>
    <w:rsid w:val="3F822B11"/>
    <w:rsid w:val="3FE5279D"/>
    <w:rsid w:val="4007213A"/>
    <w:rsid w:val="404D4BCD"/>
    <w:rsid w:val="408B5084"/>
    <w:rsid w:val="40985FE7"/>
    <w:rsid w:val="40AA7BB4"/>
    <w:rsid w:val="40EB55E8"/>
    <w:rsid w:val="412B3F3A"/>
    <w:rsid w:val="41EC7513"/>
    <w:rsid w:val="41F05FE4"/>
    <w:rsid w:val="422F778B"/>
    <w:rsid w:val="423F2A6C"/>
    <w:rsid w:val="424128F7"/>
    <w:rsid w:val="428B1640"/>
    <w:rsid w:val="42C744B5"/>
    <w:rsid w:val="42E9654B"/>
    <w:rsid w:val="430B37A1"/>
    <w:rsid w:val="430B68D7"/>
    <w:rsid w:val="4319474C"/>
    <w:rsid w:val="4375005F"/>
    <w:rsid w:val="4379499D"/>
    <w:rsid w:val="43797E59"/>
    <w:rsid w:val="43B33D97"/>
    <w:rsid w:val="43DF4155"/>
    <w:rsid w:val="43E65DA5"/>
    <w:rsid w:val="441F64EA"/>
    <w:rsid w:val="44321D36"/>
    <w:rsid w:val="44500E51"/>
    <w:rsid w:val="446257AF"/>
    <w:rsid w:val="44715898"/>
    <w:rsid w:val="44916C9A"/>
    <w:rsid w:val="44A35CDA"/>
    <w:rsid w:val="44BA3F3D"/>
    <w:rsid w:val="44CB63F8"/>
    <w:rsid w:val="44CF689A"/>
    <w:rsid w:val="44D95A57"/>
    <w:rsid w:val="44EC6D5A"/>
    <w:rsid w:val="451A23D2"/>
    <w:rsid w:val="454F0307"/>
    <w:rsid w:val="45AF581D"/>
    <w:rsid w:val="45D02CE9"/>
    <w:rsid w:val="46235B7B"/>
    <w:rsid w:val="464B7B66"/>
    <w:rsid w:val="46DB7E40"/>
    <w:rsid w:val="472B7A6B"/>
    <w:rsid w:val="47370A41"/>
    <w:rsid w:val="476620B9"/>
    <w:rsid w:val="476B0D65"/>
    <w:rsid w:val="478B2259"/>
    <w:rsid w:val="47FF2C75"/>
    <w:rsid w:val="481424EE"/>
    <w:rsid w:val="48233ACD"/>
    <w:rsid w:val="482871C8"/>
    <w:rsid w:val="48596E34"/>
    <w:rsid w:val="485B4741"/>
    <w:rsid w:val="48690272"/>
    <w:rsid w:val="487248BE"/>
    <w:rsid w:val="48D017B2"/>
    <w:rsid w:val="48DE5332"/>
    <w:rsid w:val="49020C95"/>
    <w:rsid w:val="491B6C1D"/>
    <w:rsid w:val="49256D6B"/>
    <w:rsid w:val="49297D49"/>
    <w:rsid w:val="492E795A"/>
    <w:rsid w:val="49654852"/>
    <w:rsid w:val="497C65CC"/>
    <w:rsid w:val="497C7441"/>
    <w:rsid w:val="49E46ABC"/>
    <w:rsid w:val="49E8410B"/>
    <w:rsid w:val="4A5B54BD"/>
    <w:rsid w:val="4A5D112F"/>
    <w:rsid w:val="4A91127F"/>
    <w:rsid w:val="4AC254C1"/>
    <w:rsid w:val="4AC44B8A"/>
    <w:rsid w:val="4AC46D58"/>
    <w:rsid w:val="4AD65BB6"/>
    <w:rsid w:val="4AF25495"/>
    <w:rsid w:val="4B173519"/>
    <w:rsid w:val="4B1928AC"/>
    <w:rsid w:val="4B2B74BE"/>
    <w:rsid w:val="4B2D485C"/>
    <w:rsid w:val="4B5E266A"/>
    <w:rsid w:val="4B61575B"/>
    <w:rsid w:val="4B88486B"/>
    <w:rsid w:val="4B90101B"/>
    <w:rsid w:val="4B90138B"/>
    <w:rsid w:val="4BA400FA"/>
    <w:rsid w:val="4BBA7A63"/>
    <w:rsid w:val="4BD700E3"/>
    <w:rsid w:val="4BDF0E79"/>
    <w:rsid w:val="4BE43CF8"/>
    <w:rsid w:val="4C13762D"/>
    <w:rsid w:val="4C2E1196"/>
    <w:rsid w:val="4C3B4312"/>
    <w:rsid w:val="4C5E15BD"/>
    <w:rsid w:val="4C815344"/>
    <w:rsid w:val="4CA647AF"/>
    <w:rsid w:val="4CBC4FC4"/>
    <w:rsid w:val="4CCC6463"/>
    <w:rsid w:val="4CF46C17"/>
    <w:rsid w:val="4D3001B5"/>
    <w:rsid w:val="4D6751F8"/>
    <w:rsid w:val="4D836882"/>
    <w:rsid w:val="4DD90246"/>
    <w:rsid w:val="4DF5547C"/>
    <w:rsid w:val="4E037E03"/>
    <w:rsid w:val="4E071452"/>
    <w:rsid w:val="4E686869"/>
    <w:rsid w:val="4E9460DB"/>
    <w:rsid w:val="4EAE6C79"/>
    <w:rsid w:val="4EE4263A"/>
    <w:rsid w:val="4F07700D"/>
    <w:rsid w:val="4F1E0392"/>
    <w:rsid w:val="4F5709D2"/>
    <w:rsid w:val="4F9D4F66"/>
    <w:rsid w:val="4FC9196F"/>
    <w:rsid w:val="4FDD28B8"/>
    <w:rsid w:val="50110280"/>
    <w:rsid w:val="502115DB"/>
    <w:rsid w:val="50410EDB"/>
    <w:rsid w:val="50CC05BD"/>
    <w:rsid w:val="50D05D61"/>
    <w:rsid w:val="50DF3F3D"/>
    <w:rsid w:val="510846A9"/>
    <w:rsid w:val="51104783"/>
    <w:rsid w:val="511076BA"/>
    <w:rsid w:val="51211221"/>
    <w:rsid w:val="512345EA"/>
    <w:rsid w:val="517219D4"/>
    <w:rsid w:val="519578E3"/>
    <w:rsid w:val="51A5192C"/>
    <w:rsid w:val="51C75596"/>
    <w:rsid w:val="51E059F3"/>
    <w:rsid w:val="52157857"/>
    <w:rsid w:val="52524A8C"/>
    <w:rsid w:val="525E30D5"/>
    <w:rsid w:val="526B7A4E"/>
    <w:rsid w:val="52B22A46"/>
    <w:rsid w:val="52DE5B9F"/>
    <w:rsid w:val="52F07541"/>
    <w:rsid w:val="53032B8C"/>
    <w:rsid w:val="53040CA1"/>
    <w:rsid w:val="530B1F15"/>
    <w:rsid w:val="5376727D"/>
    <w:rsid w:val="53A95AA0"/>
    <w:rsid w:val="53AB6093"/>
    <w:rsid w:val="53F04362"/>
    <w:rsid w:val="5468283B"/>
    <w:rsid w:val="546F27A1"/>
    <w:rsid w:val="54872C86"/>
    <w:rsid w:val="548C61A6"/>
    <w:rsid w:val="54BF4C96"/>
    <w:rsid w:val="54D40EEA"/>
    <w:rsid w:val="54D56618"/>
    <w:rsid w:val="54E65C65"/>
    <w:rsid w:val="55015EE0"/>
    <w:rsid w:val="55097E92"/>
    <w:rsid w:val="55124E11"/>
    <w:rsid w:val="55443883"/>
    <w:rsid w:val="55497BF9"/>
    <w:rsid w:val="554B7555"/>
    <w:rsid w:val="55566469"/>
    <w:rsid w:val="557145B5"/>
    <w:rsid w:val="559A2445"/>
    <w:rsid w:val="55A015D3"/>
    <w:rsid w:val="55A210B3"/>
    <w:rsid w:val="55C63CCE"/>
    <w:rsid w:val="55F86C80"/>
    <w:rsid w:val="560704B0"/>
    <w:rsid w:val="566F57E4"/>
    <w:rsid w:val="569207D8"/>
    <w:rsid w:val="56BE34C6"/>
    <w:rsid w:val="56FC1143"/>
    <w:rsid w:val="570807EC"/>
    <w:rsid w:val="5726449B"/>
    <w:rsid w:val="572C42D3"/>
    <w:rsid w:val="57643A80"/>
    <w:rsid w:val="57B32BD5"/>
    <w:rsid w:val="57CA7A32"/>
    <w:rsid w:val="57ED58F1"/>
    <w:rsid w:val="57F25FC2"/>
    <w:rsid w:val="57FF6139"/>
    <w:rsid w:val="58005737"/>
    <w:rsid w:val="5810571D"/>
    <w:rsid w:val="58676A67"/>
    <w:rsid w:val="588402D4"/>
    <w:rsid w:val="58866B4E"/>
    <w:rsid w:val="58937FC6"/>
    <w:rsid w:val="58A071B0"/>
    <w:rsid w:val="58C10200"/>
    <w:rsid w:val="58C65662"/>
    <w:rsid w:val="58C72F6F"/>
    <w:rsid w:val="58E05D3F"/>
    <w:rsid w:val="58F063AC"/>
    <w:rsid w:val="590A7FAF"/>
    <w:rsid w:val="593951F0"/>
    <w:rsid w:val="595D467B"/>
    <w:rsid w:val="59764067"/>
    <w:rsid w:val="59BF7380"/>
    <w:rsid w:val="59CA7916"/>
    <w:rsid w:val="59CD3BA0"/>
    <w:rsid w:val="59FB619C"/>
    <w:rsid w:val="5A050131"/>
    <w:rsid w:val="5A071CC8"/>
    <w:rsid w:val="5A0843B2"/>
    <w:rsid w:val="5A157FFD"/>
    <w:rsid w:val="5A485128"/>
    <w:rsid w:val="5A4D2C7E"/>
    <w:rsid w:val="5A66552C"/>
    <w:rsid w:val="5AB87EFE"/>
    <w:rsid w:val="5AD766A8"/>
    <w:rsid w:val="5ADC647F"/>
    <w:rsid w:val="5B072F37"/>
    <w:rsid w:val="5B363938"/>
    <w:rsid w:val="5B6B601D"/>
    <w:rsid w:val="5B7F1BCE"/>
    <w:rsid w:val="5BA53B93"/>
    <w:rsid w:val="5BA63C5C"/>
    <w:rsid w:val="5BB54D94"/>
    <w:rsid w:val="5BEF0A14"/>
    <w:rsid w:val="5BFA7434"/>
    <w:rsid w:val="5C0D5507"/>
    <w:rsid w:val="5C2C596E"/>
    <w:rsid w:val="5C3208B5"/>
    <w:rsid w:val="5C3B1632"/>
    <w:rsid w:val="5C7B29DB"/>
    <w:rsid w:val="5C7D159F"/>
    <w:rsid w:val="5C7F0814"/>
    <w:rsid w:val="5CF66BAD"/>
    <w:rsid w:val="5DA579F1"/>
    <w:rsid w:val="5DCC6D51"/>
    <w:rsid w:val="5DE826BD"/>
    <w:rsid w:val="5DF27553"/>
    <w:rsid w:val="5E110B5E"/>
    <w:rsid w:val="5E5C1E19"/>
    <w:rsid w:val="5E7C1CA6"/>
    <w:rsid w:val="5EB944D1"/>
    <w:rsid w:val="5EC66FD4"/>
    <w:rsid w:val="5EC7568E"/>
    <w:rsid w:val="5ED575AD"/>
    <w:rsid w:val="5EE17AEC"/>
    <w:rsid w:val="5EE716AF"/>
    <w:rsid w:val="5F0379F3"/>
    <w:rsid w:val="5F24121A"/>
    <w:rsid w:val="5F483130"/>
    <w:rsid w:val="5F9709C6"/>
    <w:rsid w:val="5FAA5953"/>
    <w:rsid w:val="5FAE15B6"/>
    <w:rsid w:val="5FC45848"/>
    <w:rsid w:val="5FCF5BC2"/>
    <w:rsid w:val="5FDD1B2B"/>
    <w:rsid w:val="60376FC0"/>
    <w:rsid w:val="603E6015"/>
    <w:rsid w:val="604351D0"/>
    <w:rsid w:val="60584245"/>
    <w:rsid w:val="609A2195"/>
    <w:rsid w:val="60B75E1E"/>
    <w:rsid w:val="60CA2AB5"/>
    <w:rsid w:val="60DC21D0"/>
    <w:rsid w:val="60E966C5"/>
    <w:rsid w:val="610D7394"/>
    <w:rsid w:val="616707F0"/>
    <w:rsid w:val="61B21C41"/>
    <w:rsid w:val="61C24970"/>
    <w:rsid w:val="61F73E3A"/>
    <w:rsid w:val="62136145"/>
    <w:rsid w:val="62411BFA"/>
    <w:rsid w:val="626E41E8"/>
    <w:rsid w:val="629E442F"/>
    <w:rsid w:val="62CB6F0A"/>
    <w:rsid w:val="62D369C8"/>
    <w:rsid w:val="62F66393"/>
    <w:rsid w:val="63275CD5"/>
    <w:rsid w:val="632853F5"/>
    <w:rsid w:val="634A7FC1"/>
    <w:rsid w:val="6350630F"/>
    <w:rsid w:val="63752B6C"/>
    <w:rsid w:val="63AF5B91"/>
    <w:rsid w:val="63C75B27"/>
    <w:rsid w:val="63D5311A"/>
    <w:rsid w:val="63D84B21"/>
    <w:rsid w:val="63DD403B"/>
    <w:rsid w:val="63FE18F4"/>
    <w:rsid w:val="640416EC"/>
    <w:rsid w:val="642674E4"/>
    <w:rsid w:val="6439320E"/>
    <w:rsid w:val="644332D0"/>
    <w:rsid w:val="64940DE1"/>
    <w:rsid w:val="64C755B1"/>
    <w:rsid w:val="64D51774"/>
    <w:rsid w:val="64F73CE5"/>
    <w:rsid w:val="657D717E"/>
    <w:rsid w:val="658546AF"/>
    <w:rsid w:val="65903AB6"/>
    <w:rsid w:val="65BB59D1"/>
    <w:rsid w:val="665202B4"/>
    <w:rsid w:val="6658747F"/>
    <w:rsid w:val="668A1772"/>
    <w:rsid w:val="669A0AA4"/>
    <w:rsid w:val="66AD59F9"/>
    <w:rsid w:val="66B05021"/>
    <w:rsid w:val="66BE043F"/>
    <w:rsid w:val="66EB16AC"/>
    <w:rsid w:val="670F42E4"/>
    <w:rsid w:val="671D5E3F"/>
    <w:rsid w:val="67361E9C"/>
    <w:rsid w:val="67374319"/>
    <w:rsid w:val="67676A4F"/>
    <w:rsid w:val="6778236B"/>
    <w:rsid w:val="67EB484E"/>
    <w:rsid w:val="67FB6627"/>
    <w:rsid w:val="67FC1584"/>
    <w:rsid w:val="68B1007B"/>
    <w:rsid w:val="68C501DB"/>
    <w:rsid w:val="68DB5E2B"/>
    <w:rsid w:val="68E658B1"/>
    <w:rsid w:val="68EE2DFB"/>
    <w:rsid w:val="691679C5"/>
    <w:rsid w:val="691E5817"/>
    <w:rsid w:val="691F356A"/>
    <w:rsid w:val="69226343"/>
    <w:rsid w:val="692533F5"/>
    <w:rsid w:val="6944740E"/>
    <w:rsid w:val="69BF4DEC"/>
    <w:rsid w:val="69CD5474"/>
    <w:rsid w:val="69FB179C"/>
    <w:rsid w:val="6A2F1708"/>
    <w:rsid w:val="6A2F3765"/>
    <w:rsid w:val="6A43708E"/>
    <w:rsid w:val="6A597EBB"/>
    <w:rsid w:val="6A5E2C78"/>
    <w:rsid w:val="6AEF106B"/>
    <w:rsid w:val="6AFB4B29"/>
    <w:rsid w:val="6AFD0E78"/>
    <w:rsid w:val="6B2A16E4"/>
    <w:rsid w:val="6C045166"/>
    <w:rsid w:val="6C1634EB"/>
    <w:rsid w:val="6C173FAB"/>
    <w:rsid w:val="6C3F7CEB"/>
    <w:rsid w:val="6C5C65DE"/>
    <w:rsid w:val="6C6C0B63"/>
    <w:rsid w:val="6C9315BF"/>
    <w:rsid w:val="6CA92213"/>
    <w:rsid w:val="6CB45F52"/>
    <w:rsid w:val="6CB62AFB"/>
    <w:rsid w:val="6D154E96"/>
    <w:rsid w:val="6D5A6CD6"/>
    <w:rsid w:val="6D717A9B"/>
    <w:rsid w:val="6D720677"/>
    <w:rsid w:val="6D742B17"/>
    <w:rsid w:val="6D774F12"/>
    <w:rsid w:val="6DB73A7B"/>
    <w:rsid w:val="6DBE4B56"/>
    <w:rsid w:val="6DD21C11"/>
    <w:rsid w:val="6DF3305D"/>
    <w:rsid w:val="6E1A6C4C"/>
    <w:rsid w:val="6E274DF7"/>
    <w:rsid w:val="6E414B14"/>
    <w:rsid w:val="6E6E62D1"/>
    <w:rsid w:val="6E7D3773"/>
    <w:rsid w:val="6EBD31F0"/>
    <w:rsid w:val="6ED24E56"/>
    <w:rsid w:val="6EF72E2F"/>
    <w:rsid w:val="6F0122CA"/>
    <w:rsid w:val="6F021F28"/>
    <w:rsid w:val="6FC677B2"/>
    <w:rsid w:val="6FD454D2"/>
    <w:rsid w:val="6FDD574C"/>
    <w:rsid w:val="6FDF56C7"/>
    <w:rsid w:val="700D4D19"/>
    <w:rsid w:val="70280037"/>
    <w:rsid w:val="705F030A"/>
    <w:rsid w:val="70B517FD"/>
    <w:rsid w:val="70CF28D2"/>
    <w:rsid w:val="70F919D0"/>
    <w:rsid w:val="71064972"/>
    <w:rsid w:val="71176E9A"/>
    <w:rsid w:val="712A6C8D"/>
    <w:rsid w:val="71561F64"/>
    <w:rsid w:val="715C6F3F"/>
    <w:rsid w:val="716B102F"/>
    <w:rsid w:val="71951FBC"/>
    <w:rsid w:val="71D5710F"/>
    <w:rsid w:val="71E87D6D"/>
    <w:rsid w:val="71F40DAE"/>
    <w:rsid w:val="71F94F8E"/>
    <w:rsid w:val="71FC6998"/>
    <w:rsid w:val="72080E20"/>
    <w:rsid w:val="723B4B3D"/>
    <w:rsid w:val="72985598"/>
    <w:rsid w:val="72B77C96"/>
    <w:rsid w:val="72CD4423"/>
    <w:rsid w:val="72D30849"/>
    <w:rsid w:val="72E37CB2"/>
    <w:rsid w:val="72E45DAA"/>
    <w:rsid w:val="73A71F35"/>
    <w:rsid w:val="73F26006"/>
    <w:rsid w:val="73F2663A"/>
    <w:rsid w:val="73FA4B44"/>
    <w:rsid w:val="74210B03"/>
    <w:rsid w:val="7425492B"/>
    <w:rsid w:val="747E49C2"/>
    <w:rsid w:val="74D93AE0"/>
    <w:rsid w:val="74EB3A63"/>
    <w:rsid w:val="74EE6FB4"/>
    <w:rsid w:val="74EF30DB"/>
    <w:rsid w:val="751D000E"/>
    <w:rsid w:val="758A4893"/>
    <w:rsid w:val="75A534B9"/>
    <w:rsid w:val="75BE4F89"/>
    <w:rsid w:val="75EB5181"/>
    <w:rsid w:val="75FF6563"/>
    <w:rsid w:val="76015D09"/>
    <w:rsid w:val="761E28DE"/>
    <w:rsid w:val="762F0346"/>
    <w:rsid w:val="76821A81"/>
    <w:rsid w:val="76C032BC"/>
    <w:rsid w:val="76F05DD9"/>
    <w:rsid w:val="770B6515"/>
    <w:rsid w:val="7717654C"/>
    <w:rsid w:val="77277AE5"/>
    <w:rsid w:val="776A3E10"/>
    <w:rsid w:val="776D741F"/>
    <w:rsid w:val="7795669C"/>
    <w:rsid w:val="779D435F"/>
    <w:rsid w:val="77D05380"/>
    <w:rsid w:val="77DE762B"/>
    <w:rsid w:val="784B0CEA"/>
    <w:rsid w:val="78887B5B"/>
    <w:rsid w:val="789A0DBF"/>
    <w:rsid w:val="78A14E22"/>
    <w:rsid w:val="78AF6CB8"/>
    <w:rsid w:val="78E265A8"/>
    <w:rsid w:val="78E93510"/>
    <w:rsid w:val="78F1201E"/>
    <w:rsid w:val="79200F3C"/>
    <w:rsid w:val="793516E1"/>
    <w:rsid w:val="795D0657"/>
    <w:rsid w:val="797D1D5A"/>
    <w:rsid w:val="7999066E"/>
    <w:rsid w:val="7A8F5AA2"/>
    <w:rsid w:val="7AE84B73"/>
    <w:rsid w:val="7B181A46"/>
    <w:rsid w:val="7B200928"/>
    <w:rsid w:val="7B2133AC"/>
    <w:rsid w:val="7B3C7C83"/>
    <w:rsid w:val="7BCF34F3"/>
    <w:rsid w:val="7BFD5219"/>
    <w:rsid w:val="7C496360"/>
    <w:rsid w:val="7C664A63"/>
    <w:rsid w:val="7CF21A47"/>
    <w:rsid w:val="7CF374E4"/>
    <w:rsid w:val="7D0D1339"/>
    <w:rsid w:val="7D345F26"/>
    <w:rsid w:val="7D4900B8"/>
    <w:rsid w:val="7D7556FC"/>
    <w:rsid w:val="7DF45555"/>
    <w:rsid w:val="7E144F8E"/>
    <w:rsid w:val="7E4408DE"/>
    <w:rsid w:val="7E466C98"/>
    <w:rsid w:val="7E985315"/>
    <w:rsid w:val="7EB87878"/>
    <w:rsid w:val="7EBC42A6"/>
    <w:rsid w:val="7ECC17EB"/>
    <w:rsid w:val="7EE408E1"/>
    <w:rsid w:val="7EE53637"/>
    <w:rsid w:val="7EF1779C"/>
    <w:rsid w:val="7F2D27CB"/>
    <w:rsid w:val="7F4678F5"/>
    <w:rsid w:val="7F953A6B"/>
    <w:rsid w:val="7FA55F6F"/>
    <w:rsid w:val="7FC61C5F"/>
    <w:rsid w:val="7FE415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7"/>
    <w:qFormat/>
    <w:uiPriority w:val="0"/>
    <w:pPr>
      <w:keepNext/>
      <w:keepLines/>
      <w:spacing w:line="578" w:lineRule="auto"/>
      <w:outlineLvl w:val="0"/>
    </w:pPr>
    <w:rPr>
      <w:b/>
      <w:bCs/>
      <w:kern w:val="44"/>
      <w:sz w:val="44"/>
      <w:szCs w:val="44"/>
    </w:rPr>
  </w:style>
  <w:style w:type="paragraph" w:styleId="4">
    <w:name w:val="heading 2"/>
    <w:basedOn w:val="1"/>
    <w:next w:val="1"/>
    <w:unhideWhenUsed/>
    <w:qFormat/>
    <w:uiPriority w:val="0"/>
    <w:pPr>
      <w:keepNext/>
      <w:keepLines/>
      <w:spacing w:line="416" w:lineRule="auto"/>
      <w:outlineLvl w:val="1"/>
    </w:pPr>
    <w:rPr>
      <w:rFonts w:ascii="Arial" w:hAnsi="Arial" w:eastAsia="黑体"/>
      <w:b/>
      <w:bCs/>
      <w:sz w:val="32"/>
      <w:szCs w:val="32"/>
    </w:rPr>
  </w:style>
  <w:style w:type="paragraph" w:styleId="5">
    <w:name w:val="heading 3"/>
    <w:basedOn w:val="1"/>
    <w:next w:val="1"/>
    <w:unhideWhenUsed/>
    <w:qFormat/>
    <w:uiPriority w:val="0"/>
    <w:pPr>
      <w:keepNext/>
      <w:keepLines/>
      <w:spacing w:line="416" w:lineRule="auto"/>
      <w:outlineLvl w:val="2"/>
    </w:pPr>
    <w:rPr>
      <w:b/>
      <w:bCs/>
      <w:sz w:val="32"/>
      <w:szCs w:val="32"/>
    </w:rPr>
  </w:style>
  <w:style w:type="paragraph" w:styleId="6">
    <w:name w:val="heading 4"/>
    <w:basedOn w:val="1"/>
    <w:next w:val="7"/>
    <w:unhideWhenUsed/>
    <w:qFormat/>
    <w:uiPriority w:val="0"/>
    <w:pPr>
      <w:keepNext/>
      <w:keepLines/>
      <w:numPr>
        <w:ilvl w:val="3"/>
        <w:numId w:val="1"/>
      </w:numPr>
      <w:spacing w:line="376" w:lineRule="auto"/>
      <w:outlineLvl w:val="3"/>
    </w:pPr>
    <w:rPr>
      <w:rFonts w:ascii="宋体" w:hAnsi="Arial" w:eastAsia="黑体"/>
      <w:b/>
      <w:sz w:val="24"/>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jc w:val="center"/>
    </w:pPr>
  </w:style>
  <w:style w:type="paragraph" w:styleId="7">
    <w:name w:val="Normal Indent"/>
    <w:basedOn w:val="1"/>
    <w:qFormat/>
    <w:uiPriority w:val="0"/>
    <w:pPr>
      <w:ind w:firstLine="420"/>
    </w:pPr>
    <w:rPr>
      <w:szCs w:val="20"/>
    </w:rPr>
  </w:style>
  <w:style w:type="paragraph" w:styleId="8">
    <w:name w:val="Body Text 3"/>
    <w:basedOn w:val="1"/>
    <w:qFormat/>
    <w:uiPriority w:val="0"/>
    <w:rPr>
      <w:sz w:val="16"/>
      <w:szCs w:val="16"/>
    </w:rPr>
  </w:style>
  <w:style w:type="paragraph" w:styleId="9">
    <w:name w:val="Body Text Indent"/>
    <w:basedOn w:val="1"/>
    <w:qFormat/>
    <w:uiPriority w:val="0"/>
    <w:pPr>
      <w:ind w:firstLine="630"/>
    </w:pPr>
    <w:rPr>
      <w:rFonts w:eastAsia="仿宋_GB2312"/>
      <w:sz w:val="28"/>
      <w:szCs w:val="20"/>
    </w:rPr>
  </w:style>
  <w:style w:type="paragraph" w:styleId="10">
    <w:name w:val="toc 3"/>
    <w:basedOn w:val="1"/>
    <w:next w:val="1"/>
    <w:qFormat/>
    <w:uiPriority w:val="0"/>
    <w:pPr>
      <w:ind w:left="840" w:leftChars="400"/>
    </w:pPr>
  </w:style>
  <w:style w:type="paragraph" w:styleId="11">
    <w:name w:val="Plain Text"/>
    <w:basedOn w:val="1"/>
    <w:link w:val="33"/>
    <w:qFormat/>
    <w:uiPriority w:val="0"/>
    <w:rPr>
      <w:rFonts w:ascii="宋体" w:hAnsi="Courier New"/>
      <w:szCs w:val="20"/>
    </w:rPr>
  </w:style>
  <w:style w:type="paragraph" w:styleId="12">
    <w:name w:val="Body Text Indent 2"/>
    <w:basedOn w:val="1"/>
    <w:qFormat/>
    <w:uiPriority w:val="0"/>
    <w:pPr>
      <w:ind w:firstLine="412" w:firstLineChars="196"/>
    </w:pPr>
  </w:style>
  <w:style w:type="paragraph" w:styleId="13">
    <w:name w:val="Balloon Text"/>
    <w:basedOn w:val="1"/>
    <w:link w:val="34"/>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Subtitle"/>
    <w:basedOn w:val="1"/>
    <w:next w:val="1"/>
    <w:qFormat/>
    <w:uiPriority w:val="0"/>
    <w:pPr>
      <w:spacing w:line="312" w:lineRule="auto"/>
      <w:jc w:val="center"/>
      <w:outlineLvl w:val="1"/>
    </w:pPr>
    <w:rPr>
      <w:rFonts w:ascii="Cambria" w:hAnsi="Cambria"/>
      <w:b/>
      <w:bCs/>
      <w:kern w:val="28"/>
      <w:sz w:val="32"/>
      <w:szCs w:val="32"/>
    </w:rPr>
  </w:style>
  <w:style w:type="paragraph" w:styleId="18">
    <w:name w:val="Body Text Indent 3"/>
    <w:basedOn w:val="1"/>
    <w:qFormat/>
    <w:uiPriority w:val="0"/>
    <w:pPr>
      <w:ind w:left="420" w:leftChars="200"/>
    </w:pPr>
    <w:rPr>
      <w:sz w:val="16"/>
      <w:szCs w:val="16"/>
    </w:rPr>
  </w:style>
  <w:style w:type="paragraph" w:styleId="19">
    <w:name w:val="toc 2"/>
    <w:basedOn w:val="1"/>
    <w:next w:val="1"/>
    <w:qFormat/>
    <w:uiPriority w:val="0"/>
    <w:pPr>
      <w:ind w:left="420" w:leftChars="200"/>
    </w:pPr>
  </w:style>
  <w:style w:type="paragraph" w:styleId="2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21">
    <w:name w:val="index 1"/>
    <w:basedOn w:val="1"/>
    <w:next w:val="1"/>
    <w:qFormat/>
    <w:uiPriority w:val="0"/>
    <w:pPr>
      <w:spacing w:line="360" w:lineRule="auto"/>
    </w:pPr>
    <w:rPr>
      <w:rFonts w:ascii="宋体" w:hAnsi="宋体"/>
      <w:bCs/>
      <w:szCs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basedOn w:val="24"/>
    <w:qFormat/>
    <w:uiPriority w:val="0"/>
  </w:style>
  <w:style w:type="character" w:styleId="26">
    <w:name w:val="FollowedHyperlink"/>
    <w:basedOn w:val="24"/>
    <w:qFormat/>
    <w:uiPriority w:val="0"/>
    <w:rPr>
      <w:color w:val="000000"/>
      <w:sz w:val="14"/>
      <w:szCs w:val="14"/>
      <w:u w:val="none"/>
    </w:rPr>
  </w:style>
  <w:style w:type="character" w:styleId="27">
    <w:name w:val="Hyperlink"/>
    <w:basedOn w:val="24"/>
    <w:qFormat/>
    <w:uiPriority w:val="0"/>
    <w:rPr>
      <w:color w:val="000000"/>
      <w:u w:val="none"/>
    </w:rPr>
  </w:style>
  <w:style w:type="paragraph" w:customStyle="1" w:styleId="28">
    <w:name w:val="5"/>
    <w:basedOn w:val="1"/>
    <w:next w:val="11"/>
    <w:qFormat/>
    <w:uiPriority w:val="0"/>
    <w:rPr>
      <w:rFonts w:ascii="宋体" w:hAnsi="Courier New"/>
      <w:szCs w:val="20"/>
    </w:rPr>
  </w:style>
  <w:style w:type="paragraph" w:customStyle="1" w:styleId="29">
    <w:name w:val="样式 标题 2 + Times New Roman 四号 非加粗 段前: 5 磅 段后: 0 磅 行距: 固定值 20..."/>
    <w:basedOn w:val="4"/>
    <w:qFormat/>
    <w:uiPriority w:val="0"/>
    <w:pPr>
      <w:spacing w:line="400" w:lineRule="exact"/>
    </w:pPr>
    <w:rPr>
      <w:rFonts w:ascii="Times New Roman" w:hAnsi="Times New Roman" w:cs="宋体"/>
      <w:b w:val="0"/>
      <w:bCs w:val="0"/>
      <w:sz w:val="28"/>
      <w:szCs w:val="20"/>
    </w:rPr>
  </w:style>
  <w:style w:type="character" w:customStyle="1" w:styleId="30">
    <w:name w:val="font31"/>
    <w:basedOn w:val="24"/>
    <w:qFormat/>
    <w:uiPriority w:val="0"/>
    <w:rPr>
      <w:rFonts w:hint="eastAsia" w:ascii="宋体" w:hAnsi="宋体" w:eastAsia="宋体" w:cs="宋体"/>
      <w:color w:val="000000"/>
      <w:sz w:val="20"/>
      <w:szCs w:val="20"/>
      <w:u w:val="none"/>
    </w:rPr>
  </w:style>
  <w:style w:type="character" w:customStyle="1" w:styleId="31">
    <w:name w:val="font11"/>
    <w:basedOn w:val="24"/>
    <w:qFormat/>
    <w:uiPriority w:val="0"/>
    <w:rPr>
      <w:rFonts w:ascii="Arial" w:hAnsi="Arial" w:cs="Arial"/>
      <w:color w:val="000000"/>
      <w:sz w:val="20"/>
      <w:szCs w:val="20"/>
      <w:u w:val="none"/>
    </w:rPr>
  </w:style>
  <w:style w:type="character" w:customStyle="1" w:styleId="32">
    <w:name w:val="font51"/>
    <w:basedOn w:val="24"/>
    <w:qFormat/>
    <w:uiPriority w:val="0"/>
    <w:rPr>
      <w:rFonts w:hint="eastAsia" w:ascii="宋体" w:hAnsi="宋体" w:eastAsia="宋体" w:cs="宋体"/>
      <w:color w:val="000000"/>
      <w:sz w:val="21"/>
      <w:szCs w:val="21"/>
      <w:u w:val="none"/>
    </w:rPr>
  </w:style>
  <w:style w:type="character" w:customStyle="1" w:styleId="33">
    <w:name w:val="纯文本 Char"/>
    <w:basedOn w:val="24"/>
    <w:link w:val="11"/>
    <w:qFormat/>
    <w:uiPriority w:val="0"/>
    <w:rPr>
      <w:rFonts w:ascii="宋体" w:hAnsi="Courier New"/>
      <w:szCs w:val="20"/>
    </w:rPr>
  </w:style>
  <w:style w:type="character" w:customStyle="1" w:styleId="34">
    <w:name w:val="批注框文本 Char"/>
    <w:basedOn w:val="24"/>
    <w:link w:val="13"/>
    <w:qFormat/>
    <w:uiPriority w:val="0"/>
    <w:rPr>
      <w:rFonts w:asciiTheme="minorHAnsi" w:hAnsiTheme="minorHAnsi" w:eastAsiaTheme="minorEastAsia" w:cstheme="minorBidi"/>
      <w:kern w:val="2"/>
      <w:sz w:val="18"/>
      <w:szCs w:val="18"/>
    </w:rPr>
  </w:style>
  <w:style w:type="character" w:customStyle="1" w:styleId="35">
    <w:name w:val="font01"/>
    <w:basedOn w:val="24"/>
    <w:qFormat/>
    <w:uiPriority w:val="0"/>
    <w:rPr>
      <w:rFonts w:hint="eastAsia" w:ascii="宋体" w:hAnsi="宋体" w:eastAsia="宋体" w:cs="宋体"/>
      <w:color w:val="000000"/>
      <w:sz w:val="22"/>
      <w:szCs w:val="22"/>
      <w:u w:val="none"/>
    </w:rPr>
  </w:style>
  <w:style w:type="character" w:customStyle="1" w:styleId="36">
    <w:name w:val="font21"/>
    <w:basedOn w:val="24"/>
    <w:qFormat/>
    <w:uiPriority w:val="0"/>
    <w:rPr>
      <w:rFonts w:ascii="font-weight : 400" w:hAnsi="font-weight : 400" w:eastAsia="font-weight : 400" w:cs="font-weight : 400"/>
      <w:color w:val="000000"/>
      <w:sz w:val="22"/>
      <w:szCs w:val="22"/>
      <w:u w:val="none"/>
    </w:rPr>
  </w:style>
  <w:style w:type="character" w:customStyle="1" w:styleId="37">
    <w:name w:val="标题 1 Char"/>
    <w:link w:val="3"/>
    <w:qFormat/>
    <w:uiPriority w:val="0"/>
    <w:rPr>
      <w:b/>
      <w:bCs/>
      <w:kern w:val="44"/>
      <w:sz w:val="44"/>
      <w:szCs w:val="44"/>
    </w:rPr>
  </w:style>
  <w:style w:type="paragraph" w:customStyle="1" w:styleId="38">
    <w:name w:val="列出段落1"/>
    <w:basedOn w:val="1"/>
    <w:qFormat/>
    <w:uiPriority w:val="0"/>
    <w:pPr>
      <w:ind w:firstLine="420" w:firstLineChars="200"/>
    </w:pPr>
    <w:rPr>
      <w:rFonts w:ascii="Calibri" w:hAnsi="Calibri"/>
      <w:szCs w:val="22"/>
    </w:rPr>
  </w:style>
  <w:style w:type="paragraph" w:customStyle="1" w:styleId="39">
    <w:name w:val="p15"/>
    <w:basedOn w:val="1"/>
    <w:qFormat/>
    <w:uiPriority w:val="0"/>
    <w:pPr>
      <w:widowControl/>
      <w:ind w:firstLine="420"/>
    </w:pPr>
    <w:rPr>
      <w:rFonts w:ascii="Calibri" w:hAnsi="Calibri" w:cs="宋体"/>
      <w:kern w:val="0"/>
      <w:szCs w:val="21"/>
    </w:rPr>
  </w:style>
  <w:style w:type="paragraph" w:customStyle="1" w:styleId="40">
    <w:name w:val="正文 New New New New"/>
    <w:qFormat/>
    <w:uiPriority w:val="0"/>
    <w:pPr>
      <w:widowControl w:val="0"/>
      <w:jc w:val="both"/>
    </w:pPr>
    <w:rPr>
      <w:rFonts w:asciiTheme="minorHAnsi" w:hAnsiTheme="minorHAnsi" w:eastAsiaTheme="minorEastAsia" w:cstheme="minorBidi"/>
      <w:sz w:val="21"/>
      <w:szCs w:val="24"/>
      <w:lang w:val="en-US" w:eastAsia="zh-CN" w:bidi="ar-SA"/>
    </w:rPr>
  </w:style>
  <w:style w:type="character" w:customStyle="1" w:styleId="41">
    <w:name w:val="正文 + 宋体 Char"/>
    <w:basedOn w:val="24"/>
    <w:link w:val="42"/>
    <w:qFormat/>
    <w:uiPriority w:val="0"/>
    <w:rPr>
      <w:rFonts w:ascii="宋体" w:hAnsi="宋体"/>
      <w:b/>
      <w:sz w:val="24"/>
    </w:rPr>
  </w:style>
  <w:style w:type="paragraph" w:customStyle="1" w:styleId="42">
    <w:name w:val="正文 + 宋体"/>
    <w:basedOn w:val="12"/>
    <w:link w:val="41"/>
    <w:qFormat/>
    <w:uiPriority w:val="0"/>
    <w:pPr>
      <w:spacing w:line="480" w:lineRule="exact"/>
      <w:ind w:left="0" w:leftChars="0"/>
    </w:pPr>
    <w:rPr>
      <w:rFonts w:ascii="宋体" w:hAnsi="宋体"/>
      <w:b/>
      <w:sz w:val="24"/>
    </w:rPr>
  </w:style>
  <w:style w:type="paragraph" w:styleId="43">
    <w:name w:val="List Paragraph"/>
    <w:basedOn w:val="1"/>
    <w:qFormat/>
    <w:uiPriority w:val="34"/>
    <w:pPr>
      <w:ind w:firstLine="420" w:firstLineChars="200"/>
    </w:pPr>
  </w:style>
  <w:style w:type="paragraph" w:customStyle="1" w:styleId="44">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textRotate="1"/>
    <customShpInfo spid="_x0000_s2052" textRotate="1"/>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3990</Words>
  <Characters>22747</Characters>
  <Lines>189</Lines>
  <Paragraphs>53</Paragraphs>
  <TotalTime>1</TotalTime>
  <ScaleCrop>false</ScaleCrop>
  <LinksUpToDate>false</LinksUpToDate>
  <CharactersWithSpaces>26684</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2015-12-12T14:59:00Z</dcterms:created>
  <dc:creator>Administrator</dc:creator>
  <cp:lastModifiedBy>Amiao</cp:lastModifiedBy>
  <cp:lastPrinted>2017-08-08T02:07:00Z</cp:lastPrinted>
  <dcterms:modified xsi:type="dcterms:W3CDTF">2019-12-16T15:29:56Z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